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01F20B">
      <w:pPr>
        <w:pStyle w:val="13"/>
        <w:spacing w:before="120" w:beforeAutospacing="0" w:after="120" w:afterAutospacing="0" w:line="360" w:lineRule="auto"/>
        <w:rPr>
          <w:color w:val="auto"/>
          <w:highlight w:val="none"/>
        </w:rPr>
      </w:pPr>
      <w:r>
        <w:rPr>
          <w:color w:val="auto"/>
          <w:highlight w:val="none"/>
        </w:rPr>
        <w:t> </w:t>
      </w:r>
    </w:p>
    <w:p w14:paraId="0B1BBF3D">
      <w:pPr>
        <w:pStyle w:val="13"/>
        <w:spacing w:before="120" w:beforeAutospacing="0" w:after="120" w:afterAutospacing="0" w:line="360" w:lineRule="auto"/>
        <w:jc w:val="center"/>
        <w:rPr>
          <w:color w:val="auto"/>
          <w:highlight w:val="none"/>
        </w:rPr>
      </w:pPr>
      <w:r>
        <w:rPr>
          <w:rFonts w:ascii="Arial" w:hAnsi="Arial" w:cs="Arial"/>
          <w:b/>
          <w:color w:val="auto"/>
          <w:sz w:val="84"/>
          <w:szCs w:val="84"/>
          <w:highlight w:val="none"/>
        </w:rPr>
        <w:t>招 标 文 件</w:t>
      </w:r>
    </w:p>
    <w:p w14:paraId="236D250C">
      <w:pPr>
        <w:pStyle w:val="13"/>
        <w:spacing w:before="120" w:beforeAutospacing="0" w:after="120" w:afterAutospacing="0" w:line="360" w:lineRule="auto"/>
        <w:rPr>
          <w:rFonts w:ascii="Arial" w:hAnsi="Arial" w:cs="Arial"/>
          <w:b/>
          <w:color w:val="auto"/>
          <w:sz w:val="32"/>
          <w:szCs w:val="32"/>
          <w:highlight w:val="none"/>
        </w:rPr>
      </w:pPr>
    </w:p>
    <w:p w14:paraId="4DE66F96">
      <w:pPr>
        <w:pStyle w:val="13"/>
        <w:spacing w:before="120" w:beforeAutospacing="0" w:after="120" w:afterAutospacing="0" w:line="360" w:lineRule="auto"/>
        <w:rPr>
          <w:rFonts w:ascii="Arial" w:hAnsi="Arial" w:cs="Arial"/>
          <w:b/>
          <w:color w:val="auto"/>
          <w:sz w:val="32"/>
          <w:szCs w:val="32"/>
          <w:highlight w:val="none"/>
        </w:rPr>
      </w:pPr>
    </w:p>
    <w:p w14:paraId="6D56124E">
      <w:pPr>
        <w:pStyle w:val="13"/>
        <w:spacing w:before="120" w:beforeAutospacing="0" w:after="120" w:afterAutospacing="0" w:line="360" w:lineRule="auto"/>
        <w:jc w:val="center"/>
        <w:rPr>
          <w:rFonts w:hint="eastAsia" w:eastAsiaTheme="minorEastAsia"/>
          <w:color w:val="auto"/>
          <w:highlight w:val="none"/>
          <w:lang w:eastAsia="zh-CN"/>
        </w:rPr>
      </w:pPr>
      <w:r>
        <w:rPr>
          <w:rFonts w:ascii="Arial" w:hAnsi="Arial" w:cs="Arial"/>
          <w:b/>
          <w:color w:val="auto"/>
          <w:sz w:val="32"/>
          <w:szCs w:val="32"/>
          <w:highlight w:val="none"/>
        </w:rPr>
        <w:t>项目名称：</w:t>
      </w:r>
      <w:r>
        <w:rPr>
          <w:rFonts w:hint="eastAsia" w:ascii="Arial" w:hAnsi="Arial" w:cs="Arial"/>
          <w:b/>
          <w:color w:val="auto"/>
          <w:sz w:val="32"/>
          <w:szCs w:val="32"/>
          <w:highlight w:val="none"/>
          <w:lang w:eastAsia="zh-CN"/>
        </w:rPr>
        <w:t>盐城市盐都区龙冈镇卫生院2025年-2026年物业服务项目</w:t>
      </w:r>
    </w:p>
    <w:p w14:paraId="42CCDC3F">
      <w:pPr>
        <w:pStyle w:val="13"/>
        <w:spacing w:beforeAutospacing="0" w:afterAutospacing="0"/>
        <w:jc w:val="both"/>
        <w:rPr>
          <w:rFonts w:hint="default" w:eastAsiaTheme="minorEastAsia"/>
          <w:color w:val="auto"/>
          <w:highlight w:val="none"/>
          <w:lang w:val="en-US" w:eastAsia="zh-CN"/>
        </w:rPr>
      </w:pPr>
      <w:r>
        <w:rPr>
          <w:rFonts w:ascii="Times New Roman" w:hAnsi="Times New Roman"/>
          <w:b/>
          <w:color w:val="auto"/>
          <w:sz w:val="32"/>
          <w:szCs w:val="32"/>
          <w:highlight w:val="none"/>
        </w:rPr>
        <w:t>项目编号：</w:t>
      </w:r>
      <w:r>
        <w:rPr>
          <w:rFonts w:hint="eastAsia" w:ascii="Times New Roman" w:hAnsi="Times New Roman"/>
          <w:b/>
          <w:color w:val="auto"/>
          <w:sz w:val="32"/>
          <w:szCs w:val="32"/>
          <w:highlight w:val="none"/>
          <w:lang w:eastAsia="zh-CN"/>
        </w:rPr>
        <w:t>JSZC-320903-JZCG-G2025-0044</w:t>
      </w:r>
      <w:r>
        <w:rPr>
          <w:rFonts w:hint="eastAsia" w:ascii="Times New Roman" w:hAnsi="Times New Roman"/>
          <w:b/>
          <w:color w:val="auto"/>
          <w:sz w:val="32"/>
          <w:szCs w:val="32"/>
          <w:highlight w:val="none"/>
          <w:lang w:val="en-US" w:eastAsia="zh-CN"/>
        </w:rPr>
        <w:t xml:space="preserve">                 </w:t>
      </w:r>
    </w:p>
    <w:p w14:paraId="2E1FF2E8">
      <w:pPr>
        <w:pStyle w:val="13"/>
        <w:spacing w:beforeAutospacing="0" w:afterAutospacing="0" w:line="360" w:lineRule="auto"/>
        <w:rPr>
          <w:color w:val="auto"/>
          <w:highlight w:val="none"/>
        </w:rPr>
      </w:pPr>
      <w:r>
        <w:rPr>
          <w:color w:val="auto"/>
          <w:highlight w:val="none"/>
        </w:rPr>
        <w:t> </w:t>
      </w:r>
    </w:p>
    <w:p w14:paraId="0B96F695">
      <w:pPr>
        <w:pStyle w:val="13"/>
        <w:spacing w:beforeAutospacing="0" w:afterAutospacing="0" w:line="360" w:lineRule="auto"/>
        <w:rPr>
          <w:color w:val="auto"/>
          <w:highlight w:val="none"/>
        </w:rPr>
      </w:pPr>
      <w:r>
        <w:rPr>
          <w:color w:val="auto"/>
          <w:highlight w:val="none"/>
        </w:rPr>
        <w:t> </w:t>
      </w:r>
    </w:p>
    <w:p w14:paraId="59163137">
      <w:pPr>
        <w:pStyle w:val="13"/>
        <w:spacing w:beforeAutospacing="0" w:afterAutospacing="0" w:line="360" w:lineRule="auto"/>
        <w:rPr>
          <w:color w:val="auto"/>
          <w:highlight w:val="none"/>
        </w:rPr>
      </w:pPr>
      <w:r>
        <w:rPr>
          <w:color w:val="auto"/>
          <w:highlight w:val="none"/>
        </w:rPr>
        <w:t> </w:t>
      </w:r>
    </w:p>
    <w:p w14:paraId="5E1CDB38">
      <w:pPr>
        <w:pStyle w:val="13"/>
        <w:spacing w:beforeAutospacing="0" w:afterAutospacing="0" w:line="360" w:lineRule="auto"/>
        <w:rPr>
          <w:color w:val="auto"/>
          <w:highlight w:val="none"/>
        </w:rPr>
      </w:pPr>
      <w:r>
        <w:rPr>
          <w:color w:val="auto"/>
          <w:highlight w:val="none"/>
        </w:rPr>
        <w:t> </w:t>
      </w:r>
    </w:p>
    <w:p w14:paraId="2719ECA1">
      <w:pPr>
        <w:pStyle w:val="13"/>
        <w:spacing w:beforeAutospacing="0" w:afterAutospacing="0" w:line="360" w:lineRule="auto"/>
        <w:rPr>
          <w:color w:val="auto"/>
          <w:highlight w:val="none"/>
        </w:rPr>
      </w:pPr>
      <w:r>
        <w:rPr>
          <w:color w:val="auto"/>
          <w:highlight w:val="none"/>
        </w:rPr>
        <w:t> </w:t>
      </w:r>
    </w:p>
    <w:p w14:paraId="3382FD19">
      <w:pPr>
        <w:pStyle w:val="13"/>
        <w:spacing w:beforeAutospacing="0" w:afterAutospacing="0" w:line="360" w:lineRule="auto"/>
        <w:rPr>
          <w:color w:val="auto"/>
          <w:highlight w:val="none"/>
        </w:rPr>
      </w:pPr>
      <w:r>
        <w:rPr>
          <w:color w:val="auto"/>
          <w:highlight w:val="none"/>
        </w:rPr>
        <w:t> </w:t>
      </w:r>
    </w:p>
    <w:p w14:paraId="7DE90590">
      <w:pPr>
        <w:pStyle w:val="13"/>
        <w:spacing w:beforeAutospacing="0" w:afterAutospacing="0" w:line="360" w:lineRule="auto"/>
        <w:rPr>
          <w:color w:val="auto"/>
          <w:highlight w:val="none"/>
        </w:rPr>
      </w:pPr>
      <w:r>
        <w:rPr>
          <w:color w:val="auto"/>
          <w:highlight w:val="none"/>
        </w:rPr>
        <w:t> </w:t>
      </w:r>
    </w:p>
    <w:p w14:paraId="6273F743">
      <w:pPr>
        <w:pStyle w:val="13"/>
        <w:spacing w:before="120" w:beforeAutospacing="0" w:after="120" w:afterAutospacing="0" w:line="360" w:lineRule="auto"/>
        <w:jc w:val="center"/>
        <w:rPr>
          <w:rFonts w:hint="eastAsia" w:ascii="Arial" w:hAnsi="Arial" w:cs="Arial" w:eastAsiaTheme="minorEastAsia"/>
          <w:b/>
          <w:color w:val="auto"/>
          <w:sz w:val="32"/>
          <w:szCs w:val="32"/>
          <w:highlight w:val="none"/>
          <w:lang w:eastAsia="zh-CN"/>
        </w:rPr>
      </w:pPr>
      <w:r>
        <w:rPr>
          <w:rFonts w:hint="eastAsia" w:ascii="Arial" w:hAnsi="Arial" w:cs="Arial"/>
          <w:b/>
          <w:color w:val="auto"/>
          <w:sz w:val="32"/>
          <w:szCs w:val="32"/>
          <w:highlight w:val="none"/>
          <w:lang w:eastAsia="zh-CN"/>
        </w:rPr>
        <w:t>盐城市盐都区龙冈镇卫生院</w:t>
      </w:r>
    </w:p>
    <w:p w14:paraId="5AC82960">
      <w:pPr>
        <w:pStyle w:val="13"/>
        <w:spacing w:before="120" w:beforeAutospacing="0" w:after="120" w:afterAutospacing="0" w:line="360" w:lineRule="auto"/>
        <w:jc w:val="center"/>
        <w:rPr>
          <w:color w:val="auto"/>
          <w:highlight w:val="none"/>
        </w:rPr>
      </w:pPr>
      <w:r>
        <w:rPr>
          <w:rFonts w:hint="eastAsia" w:ascii="Arial" w:hAnsi="Arial" w:cs="Arial"/>
          <w:b/>
          <w:color w:val="auto"/>
          <w:sz w:val="32"/>
          <w:szCs w:val="32"/>
          <w:highlight w:val="none"/>
        </w:rPr>
        <w:t>202</w:t>
      </w:r>
      <w:r>
        <w:rPr>
          <w:rFonts w:hint="eastAsia" w:ascii="Arial" w:hAnsi="Arial" w:cs="Arial"/>
          <w:b/>
          <w:color w:val="auto"/>
          <w:sz w:val="32"/>
          <w:szCs w:val="32"/>
          <w:highlight w:val="none"/>
          <w:lang w:val="en-US" w:eastAsia="zh-CN"/>
        </w:rPr>
        <w:t>5</w:t>
      </w:r>
      <w:r>
        <w:rPr>
          <w:rFonts w:ascii="Arial" w:hAnsi="Arial" w:cs="Arial"/>
          <w:b/>
          <w:color w:val="auto"/>
          <w:sz w:val="32"/>
          <w:szCs w:val="32"/>
          <w:highlight w:val="none"/>
        </w:rPr>
        <w:t>年</w:t>
      </w:r>
      <w:r>
        <w:rPr>
          <w:rFonts w:hint="eastAsia" w:ascii="Arial" w:hAnsi="Arial" w:cs="Arial"/>
          <w:b/>
          <w:color w:val="auto"/>
          <w:sz w:val="32"/>
          <w:szCs w:val="32"/>
          <w:highlight w:val="none"/>
          <w:lang w:val="en-US" w:eastAsia="zh-CN"/>
        </w:rPr>
        <w:t>11</w:t>
      </w:r>
      <w:r>
        <w:rPr>
          <w:rFonts w:ascii="Arial" w:hAnsi="Arial" w:cs="Arial"/>
          <w:b/>
          <w:color w:val="auto"/>
          <w:sz w:val="32"/>
          <w:szCs w:val="32"/>
          <w:highlight w:val="none"/>
        </w:rPr>
        <w:t>月</w:t>
      </w:r>
    </w:p>
    <w:p w14:paraId="07410B14">
      <w:pPr>
        <w:pStyle w:val="13"/>
        <w:spacing w:before="120" w:beforeAutospacing="0" w:after="120" w:afterAutospacing="0" w:line="360" w:lineRule="auto"/>
        <w:rPr>
          <w:color w:val="auto"/>
          <w:highlight w:val="none"/>
        </w:rPr>
      </w:pPr>
      <w:r>
        <w:rPr>
          <w:rFonts w:ascii="Arial" w:hAnsi="Arial" w:cs="Arial"/>
          <w:color w:val="auto"/>
          <w:highlight w:val="none"/>
        </w:rPr>
        <w:t xml:space="preserve">                        </w:t>
      </w:r>
    </w:p>
    <w:p w14:paraId="4617D305">
      <w:pPr>
        <w:pStyle w:val="13"/>
        <w:spacing w:before="120" w:beforeAutospacing="0" w:after="120" w:afterAutospacing="0" w:line="360" w:lineRule="auto"/>
        <w:jc w:val="center"/>
        <w:rPr>
          <w:color w:val="auto"/>
          <w:highlight w:val="none"/>
        </w:rPr>
      </w:pPr>
      <w:r>
        <w:rPr>
          <w:color w:val="auto"/>
          <w:highlight w:val="none"/>
        </w:rPr>
        <w:t> </w:t>
      </w:r>
    </w:p>
    <w:p w14:paraId="373A5B31">
      <w:pPr>
        <w:pStyle w:val="13"/>
        <w:spacing w:beforeAutospacing="0" w:afterAutospacing="0" w:line="480" w:lineRule="auto"/>
        <w:jc w:val="center"/>
        <w:rPr>
          <w:color w:val="auto"/>
          <w:highlight w:val="none"/>
        </w:rPr>
      </w:pPr>
      <w:r>
        <w:rPr>
          <w:rFonts w:ascii="Times New Roman" w:hAnsi="Times New Roman"/>
          <w:color w:val="auto"/>
          <w:sz w:val="21"/>
          <w:szCs w:val="21"/>
          <w:highlight w:val="none"/>
        </w:rPr>
        <w:br w:type="page"/>
      </w:r>
      <w:r>
        <w:rPr>
          <w:rFonts w:ascii="Times New Roman" w:hAnsi="Times New Roman"/>
          <w:color w:val="auto"/>
          <w:sz w:val="21"/>
          <w:szCs w:val="21"/>
          <w:highlight w:val="none"/>
        </w:rPr>
        <w:t> </w:t>
      </w:r>
      <w:bookmarkStart w:id="0" w:name="_Toc479757206"/>
      <w:bookmarkStart w:id="1" w:name="_Toc523127445"/>
      <w:bookmarkStart w:id="2" w:name="_Toc513029200"/>
      <w:bookmarkStart w:id="3" w:name="_Toc20823272"/>
      <w:bookmarkStart w:id="4" w:name="_Toc16938516"/>
      <w:bookmarkStart w:id="5" w:name="_Toc120614210"/>
      <w:r>
        <w:rPr>
          <w:rFonts w:ascii="Times New Roman" w:hAnsi="Times New Roman"/>
          <w:color w:val="auto"/>
          <w:sz w:val="21"/>
          <w:szCs w:val="21"/>
          <w:highlight w:val="none"/>
        </w:rPr>
        <w:t> </w:t>
      </w:r>
      <w:r>
        <w:rPr>
          <w:rFonts w:ascii="黑体" w:hAnsi="宋体" w:eastAsia="黑体" w:cs="黑体"/>
          <w:b/>
          <w:color w:val="auto"/>
          <w:sz w:val="44"/>
          <w:szCs w:val="44"/>
          <w:highlight w:val="none"/>
        </w:rPr>
        <w:t>总  目  录</w:t>
      </w:r>
      <w:bookmarkEnd w:id="0"/>
      <w:bookmarkEnd w:id="1"/>
      <w:bookmarkEnd w:id="2"/>
      <w:bookmarkEnd w:id="3"/>
      <w:bookmarkEnd w:id="4"/>
      <w:bookmarkEnd w:id="5"/>
    </w:p>
    <w:p w14:paraId="36F1E2E2">
      <w:pPr>
        <w:pStyle w:val="13"/>
        <w:spacing w:beforeAutospacing="0" w:afterAutospacing="0" w:line="480" w:lineRule="auto"/>
        <w:jc w:val="both"/>
        <w:rPr>
          <w:color w:val="auto"/>
          <w:highlight w:val="none"/>
        </w:rPr>
      </w:pPr>
      <w:r>
        <w:rPr>
          <w:color w:val="auto"/>
          <w:highlight w:val="none"/>
        </w:rPr>
        <w:t> </w:t>
      </w:r>
    </w:p>
    <w:p w14:paraId="424094E7">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招标公告……………………………………</w:t>
      </w:r>
    </w:p>
    <w:p w14:paraId="240325BB">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 xml:space="preserve">投标人须知…………………………………  </w:t>
      </w:r>
    </w:p>
    <w:p w14:paraId="794A2996">
      <w:pPr>
        <w:pStyle w:val="13"/>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合同文本……………………………………</w:t>
      </w:r>
    </w:p>
    <w:p w14:paraId="79D21F16">
      <w:pPr>
        <w:pStyle w:val="13"/>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采购需求……………………………………</w:t>
      </w:r>
    </w:p>
    <w:p w14:paraId="15925FF5">
      <w:pPr>
        <w:pStyle w:val="13"/>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评标方法与评标标准………………………</w:t>
      </w:r>
    </w:p>
    <w:p w14:paraId="04B12F6C">
      <w:pPr>
        <w:pStyle w:val="13"/>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投标文件格式………………………………</w:t>
      </w:r>
    </w:p>
    <w:p w14:paraId="718DE30C">
      <w:pPr>
        <w:pStyle w:val="13"/>
        <w:spacing w:beforeAutospacing="0" w:afterAutospacing="0"/>
        <w:jc w:val="both"/>
        <w:rPr>
          <w:color w:val="auto"/>
          <w:highlight w:val="none"/>
        </w:rPr>
      </w:pPr>
      <w:r>
        <w:rPr>
          <w:color w:val="auto"/>
          <w:highlight w:val="none"/>
        </w:rPr>
        <w:t> </w:t>
      </w:r>
    </w:p>
    <w:p w14:paraId="5142B85D">
      <w:pPr>
        <w:pStyle w:val="13"/>
        <w:spacing w:beforeAutospacing="0" w:afterAutospacing="0"/>
        <w:jc w:val="both"/>
        <w:rPr>
          <w:color w:val="auto"/>
          <w:highlight w:val="none"/>
        </w:rPr>
      </w:pPr>
      <w:r>
        <w:rPr>
          <w:color w:val="auto"/>
          <w:highlight w:val="none"/>
        </w:rPr>
        <w:t> </w:t>
      </w:r>
    </w:p>
    <w:p w14:paraId="5A830809">
      <w:pPr>
        <w:pStyle w:val="13"/>
        <w:spacing w:beforeAutospacing="0" w:afterAutospacing="0"/>
        <w:jc w:val="both"/>
        <w:rPr>
          <w:color w:val="auto"/>
          <w:highlight w:val="none"/>
        </w:rPr>
      </w:pPr>
      <w:r>
        <w:rPr>
          <w:color w:val="auto"/>
          <w:highlight w:val="none"/>
        </w:rPr>
        <w:t> </w:t>
      </w:r>
    </w:p>
    <w:p w14:paraId="444282BF">
      <w:pPr>
        <w:pStyle w:val="13"/>
        <w:spacing w:beforeAutospacing="0" w:afterAutospacing="0"/>
        <w:jc w:val="both"/>
        <w:rPr>
          <w:color w:val="auto"/>
          <w:highlight w:val="none"/>
        </w:rPr>
      </w:pPr>
      <w:r>
        <w:rPr>
          <w:color w:val="auto"/>
          <w:highlight w:val="none"/>
        </w:rPr>
        <w:t> </w:t>
      </w:r>
    </w:p>
    <w:p w14:paraId="735AB5C7">
      <w:pPr>
        <w:pStyle w:val="13"/>
        <w:spacing w:beforeAutospacing="0" w:afterAutospacing="0"/>
        <w:jc w:val="both"/>
        <w:rPr>
          <w:color w:val="auto"/>
          <w:highlight w:val="none"/>
        </w:rPr>
      </w:pPr>
      <w:r>
        <w:rPr>
          <w:color w:val="auto"/>
          <w:highlight w:val="none"/>
        </w:rPr>
        <w:t> </w:t>
      </w:r>
    </w:p>
    <w:p w14:paraId="50E051D7">
      <w:pPr>
        <w:pStyle w:val="13"/>
        <w:spacing w:beforeAutospacing="0" w:afterAutospacing="0"/>
        <w:jc w:val="both"/>
        <w:rPr>
          <w:color w:val="auto"/>
          <w:highlight w:val="none"/>
        </w:rPr>
      </w:pPr>
      <w:r>
        <w:rPr>
          <w:color w:val="auto"/>
          <w:highlight w:val="none"/>
        </w:rPr>
        <w:t> </w:t>
      </w:r>
    </w:p>
    <w:p w14:paraId="47E29968">
      <w:pPr>
        <w:pStyle w:val="13"/>
        <w:spacing w:beforeAutospacing="0" w:afterAutospacing="0"/>
        <w:jc w:val="both"/>
        <w:rPr>
          <w:color w:val="auto"/>
          <w:highlight w:val="none"/>
        </w:rPr>
      </w:pPr>
      <w:r>
        <w:rPr>
          <w:color w:val="auto"/>
          <w:highlight w:val="none"/>
        </w:rPr>
        <w:t> </w:t>
      </w:r>
    </w:p>
    <w:p w14:paraId="76F94992">
      <w:pPr>
        <w:pStyle w:val="13"/>
        <w:spacing w:beforeAutospacing="0" w:afterAutospacing="0"/>
        <w:jc w:val="both"/>
        <w:rPr>
          <w:color w:val="auto"/>
          <w:highlight w:val="none"/>
        </w:rPr>
      </w:pPr>
      <w:r>
        <w:rPr>
          <w:color w:val="auto"/>
          <w:highlight w:val="none"/>
        </w:rPr>
        <w:t> </w:t>
      </w:r>
    </w:p>
    <w:p w14:paraId="30879D84">
      <w:pPr>
        <w:pStyle w:val="13"/>
        <w:spacing w:beforeAutospacing="0" w:afterAutospacing="0"/>
        <w:jc w:val="both"/>
        <w:rPr>
          <w:color w:val="auto"/>
          <w:highlight w:val="none"/>
        </w:rPr>
      </w:pPr>
      <w:r>
        <w:rPr>
          <w:color w:val="auto"/>
          <w:highlight w:val="none"/>
        </w:rPr>
        <w:t> </w:t>
      </w:r>
    </w:p>
    <w:p w14:paraId="7ED3B68A">
      <w:pPr>
        <w:pStyle w:val="13"/>
        <w:spacing w:beforeAutospacing="0" w:afterAutospacing="0"/>
        <w:jc w:val="both"/>
        <w:rPr>
          <w:color w:val="auto"/>
          <w:highlight w:val="none"/>
        </w:rPr>
      </w:pPr>
      <w:r>
        <w:rPr>
          <w:color w:val="auto"/>
          <w:highlight w:val="none"/>
        </w:rPr>
        <w:t> </w:t>
      </w:r>
    </w:p>
    <w:p w14:paraId="781BBEDA">
      <w:pPr>
        <w:pStyle w:val="13"/>
        <w:spacing w:beforeAutospacing="0" w:afterAutospacing="0"/>
        <w:jc w:val="both"/>
        <w:rPr>
          <w:color w:val="auto"/>
          <w:highlight w:val="none"/>
        </w:rPr>
      </w:pPr>
      <w:r>
        <w:rPr>
          <w:color w:val="auto"/>
          <w:highlight w:val="none"/>
        </w:rPr>
        <w:t> </w:t>
      </w:r>
    </w:p>
    <w:p w14:paraId="6A8D5882">
      <w:pPr>
        <w:pStyle w:val="13"/>
        <w:spacing w:beforeAutospacing="0" w:afterAutospacing="0"/>
        <w:jc w:val="both"/>
        <w:rPr>
          <w:color w:val="auto"/>
          <w:highlight w:val="none"/>
        </w:rPr>
      </w:pPr>
      <w:r>
        <w:rPr>
          <w:color w:val="auto"/>
          <w:highlight w:val="none"/>
        </w:rPr>
        <w:t> </w:t>
      </w:r>
    </w:p>
    <w:p w14:paraId="252D76FB">
      <w:pPr>
        <w:pStyle w:val="13"/>
        <w:spacing w:beforeAutospacing="0" w:afterAutospacing="0"/>
        <w:jc w:val="both"/>
        <w:rPr>
          <w:color w:val="auto"/>
          <w:highlight w:val="none"/>
        </w:rPr>
      </w:pPr>
      <w:r>
        <w:rPr>
          <w:color w:val="auto"/>
          <w:highlight w:val="none"/>
        </w:rPr>
        <w:t> </w:t>
      </w:r>
    </w:p>
    <w:p w14:paraId="3AADAD54">
      <w:pPr>
        <w:pStyle w:val="13"/>
        <w:spacing w:beforeAutospacing="0" w:afterAutospacing="0"/>
        <w:jc w:val="both"/>
        <w:rPr>
          <w:color w:val="auto"/>
          <w:highlight w:val="none"/>
        </w:rPr>
      </w:pPr>
      <w:r>
        <w:rPr>
          <w:color w:val="auto"/>
          <w:highlight w:val="none"/>
        </w:rPr>
        <w:t> </w:t>
      </w:r>
    </w:p>
    <w:p w14:paraId="7D9D88D9">
      <w:pPr>
        <w:pStyle w:val="13"/>
        <w:spacing w:beforeAutospacing="0" w:afterAutospacing="0"/>
        <w:jc w:val="both"/>
        <w:rPr>
          <w:color w:val="auto"/>
          <w:highlight w:val="none"/>
        </w:rPr>
      </w:pPr>
      <w:r>
        <w:rPr>
          <w:color w:val="auto"/>
          <w:highlight w:val="none"/>
        </w:rPr>
        <w:t> </w:t>
      </w:r>
    </w:p>
    <w:p w14:paraId="06A12176">
      <w:pPr>
        <w:pStyle w:val="13"/>
        <w:spacing w:beforeAutospacing="0" w:afterAutospacing="0"/>
        <w:jc w:val="both"/>
        <w:rPr>
          <w:color w:val="auto"/>
          <w:highlight w:val="none"/>
        </w:rPr>
      </w:pPr>
      <w:r>
        <w:rPr>
          <w:color w:val="auto"/>
          <w:highlight w:val="none"/>
        </w:rPr>
        <w:t> </w:t>
      </w:r>
    </w:p>
    <w:p w14:paraId="21FC7884">
      <w:pPr>
        <w:pStyle w:val="13"/>
        <w:spacing w:beforeAutospacing="0" w:afterAutospacing="0"/>
        <w:jc w:val="both"/>
        <w:rPr>
          <w:color w:val="auto"/>
          <w:highlight w:val="none"/>
        </w:rPr>
      </w:pPr>
      <w:r>
        <w:rPr>
          <w:color w:val="auto"/>
          <w:highlight w:val="none"/>
        </w:rPr>
        <w:t> </w:t>
      </w:r>
    </w:p>
    <w:p w14:paraId="589A91CA">
      <w:pPr>
        <w:pStyle w:val="13"/>
        <w:spacing w:beforeAutospacing="0" w:afterAutospacing="0"/>
        <w:jc w:val="both"/>
        <w:rPr>
          <w:color w:val="auto"/>
          <w:highlight w:val="none"/>
        </w:rPr>
      </w:pPr>
      <w:r>
        <w:rPr>
          <w:color w:val="auto"/>
          <w:highlight w:val="none"/>
        </w:rPr>
        <w:t> </w:t>
      </w:r>
    </w:p>
    <w:p w14:paraId="7A4507CF">
      <w:pPr>
        <w:pStyle w:val="13"/>
        <w:spacing w:beforeAutospacing="0" w:afterAutospacing="0"/>
        <w:jc w:val="both"/>
        <w:rPr>
          <w:color w:val="auto"/>
          <w:highlight w:val="none"/>
        </w:rPr>
      </w:pPr>
      <w:r>
        <w:rPr>
          <w:color w:val="auto"/>
          <w:highlight w:val="none"/>
        </w:rPr>
        <w:t> </w:t>
      </w:r>
    </w:p>
    <w:p w14:paraId="7E6B1DB9">
      <w:pPr>
        <w:pStyle w:val="13"/>
        <w:spacing w:beforeAutospacing="0" w:afterAutospacing="0"/>
        <w:jc w:val="both"/>
        <w:rPr>
          <w:color w:val="auto"/>
          <w:highlight w:val="none"/>
        </w:rPr>
      </w:pPr>
      <w:r>
        <w:rPr>
          <w:color w:val="auto"/>
          <w:highlight w:val="none"/>
        </w:rPr>
        <w:t> </w:t>
      </w:r>
    </w:p>
    <w:p w14:paraId="7D8A46C1">
      <w:pPr>
        <w:pStyle w:val="13"/>
        <w:spacing w:beforeAutospacing="0" w:afterAutospacing="0"/>
        <w:jc w:val="both"/>
        <w:rPr>
          <w:color w:val="auto"/>
          <w:highlight w:val="none"/>
        </w:rPr>
      </w:pPr>
      <w:r>
        <w:rPr>
          <w:color w:val="auto"/>
          <w:highlight w:val="none"/>
        </w:rPr>
        <w:t> </w:t>
      </w:r>
    </w:p>
    <w:p w14:paraId="0B32525D">
      <w:pPr>
        <w:pStyle w:val="13"/>
        <w:spacing w:beforeAutospacing="0" w:afterAutospacing="0"/>
        <w:jc w:val="both"/>
        <w:rPr>
          <w:color w:val="auto"/>
          <w:highlight w:val="none"/>
        </w:rPr>
      </w:pPr>
      <w:r>
        <w:rPr>
          <w:color w:val="auto"/>
          <w:highlight w:val="none"/>
        </w:rPr>
        <w:t> </w:t>
      </w:r>
    </w:p>
    <w:p w14:paraId="49E415F8">
      <w:pPr>
        <w:pStyle w:val="13"/>
        <w:spacing w:beforeAutospacing="0" w:afterAutospacing="0"/>
        <w:jc w:val="both"/>
        <w:rPr>
          <w:color w:val="auto"/>
          <w:highlight w:val="none"/>
        </w:rPr>
      </w:pPr>
      <w:r>
        <w:rPr>
          <w:color w:val="auto"/>
          <w:highlight w:val="none"/>
        </w:rPr>
        <w:t> </w:t>
      </w:r>
    </w:p>
    <w:p w14:paraId="501F8754">
      <w:pPr>
        <w:pStyle w:val="13"/>
        <w:spacing w:beforeAutospacing="0" w:afterAutospacing="0"/>
        <w:jc w:val="both"/>
        <w:rPr>
          <w:color w:val="auto"/>
          <w:highlight w:val="none"/>
        </w:rPr>
      </w:pPr>
      <w:r>
        <w:rPr>
          <w:color w:val="auto"/>
          <w:highlight w:val="none"/>
        </w:rPr>
        <w:t> </w:t>
      </w:r>
    </w:p>
    <w:p w14:paraId="728709E3">
      <w:pPr>
        <w:pStyle w:val="13"/>
        <w:spacing w:beforeAutospacing="0" w:afterAutospacing="0"/>
        <w:jc w:val="both"/>
        <w:rPr>
          <w:color w:val="auto"/>
          <w:highlight w:val="none"/>
        </w:rPr>
      </w:pPr>
      <w:r>
        <w:rPr>
          <w:color w:val="auto"/>
          <w:highlight w:val="none"/>
        </w:rPr>
        <w:t> </w:t>
      </w:r>
    </w:p>
    <w:p w14:paraId="1E818FF1">
      <w:pPr>
        <w:pStyle w:val="13"/>
        <w:spacing w:beforeAutospacing="0" w:afterAutospacing="0"/>
        <w:jc w:val="both"/>
        <w:rPr>
          <w:color w:val="auto"/>
          <w:highlight w:val="none"/>
        </w:rPr>
      </w:pPr>
      <w:r>
        <w:rPr>
          <w:color w:val="auto"/>
          <w:highlight w:val="none"/>
        </w:rPr>
        <w:t> </w:t>
      </w:r>
    </w:p>
    <w:p w14:paraId="7202403D">
      <w:pPr>
        <w:pStyle w:val="13"/>
        <w:spacing w:beforeAutospacing="0" w:afterAutospacing="0"/>
        <w:jc w:val="both"/>
        <w:rPr>
          <w:color w:val="auto"/>
          <w:highlight w:val="none"/>
        </w:rPr>
      </w:pPr>
      <w:r>
        <w:rPr>
          <w:color w:val="auto"/>
          <w:highlight w:val="none"/>
        </w:rPr>
        <w:t> </w:t>
      </w:r>
    </w:p>
    <w:p w14:paraId="02DC78F5">
      <w:pPr>
        <w:pStyle w:val="13"/>
        <w:spacing w:beforeAutospacing="0" w:afterAutospacing="0"/>
        <w:jc w:val="both"/>
        <w:rPr>
          <w:color w:val="auto"/>
          <w:highlight w:val="none"/>
        </w:rPr>
      </w:pPr>
      <w:r>
        <w:rPr>
          <w:color w:val="auto"/>
          <w:highlight w:val="none"/>
        </w:rPr>
        <w:t> </w:t>
      </w:r>
    </w:p>
    <w:p w14:paraId="078B6EA7">
      <w:pPr>
        <w:pStyle w:val="13"/>
        <w:spacing w:beforeAutospacing="0" w:afterAutospacing="0"/>
        <w:jc w:val="both"/>
        <w:rPr>
          <w:color w:val="auto"/>
          <w:highlight w:val="none"/>
        </w:rPr>
      </w:pPr>
      <w:r>
        <w:rPr>
          <w:color w:val="auto"/>
          <w:highlight w:val="none"/>
        </w:rPr>
        <w:t> </w:t>
      </w:r>
    </w:p>
    <w:p w14:paraId="2F7AAB98">
      <w:pPr>
        <w:pStyle w:val="13"/>
        <w:keepNext/>
        <w:spacing w:beforeAutospacing="0" w:afterAutospacing="0"/>
        <w:jc w:val="center"/>
        <w:rPr>
          <w:rFonts w:eastAsia="黑体"/>
          <w:color w:val="auto"/>
          <w:highlight w:val="none"/>
        </w:rPr>
      </w:pPr>
      <w:bookmarkStart w:id="6" w:name="_Toc28359009"/>
      <w:r>
        <w:rPr>
          <w:rFonts w:hint="eastAsia" w:ascii="黑体" w:hAnsi="宋体" w:eastAsia="黑体" w:cs="黑体"/>
          <w:color w:val="auto"/>
          <w:sz w:val="44"/>
          <w:szCs w:val="44"/>
          <w:highlight w:val="none"/>
        </w:rPr>
        <w:t>第一章 招标公告</w:t>
      </w:r>
    </w:p>
    <w:p w14:paraId="5D5715B0">
      <w:pPr>
        <w:pStyle w:val="13"/>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项目概况</w:t>
      </w:r>
    </w:p>
    <w:p w14:paraId="5B5AAC91">
      <w:pPr>
        <w:pStyle w:val="13"/>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lang w:eastAsia="zh-CN"/>
        </w:rPr>
        <w:t>盐城市盐都区龙冈镇卫生院2025年-2026年物业服务项目</w:t>
      </w:r>
      <w:r>
        <w:rPr>
          <w:rFonts w:hint="eastAsia" w:ascii="仿宋" w:hAnsi="仿宋" w:eastAsia="仿宋" w:cs="仿宋"/>
          <w:color w:val="auto"/>
          <w:sz w:val="28"/>
          <w:szCs w:val="28"/>
          <w:highlight w:val="none"/>
        </w:rPr>
        <w:t>招标项目的潜在投标人可在“苏采云”系统内免费下载（投标人必须在苏采云系统中获取采购文件，方能参与政府采购项目），并于</w:t>
      </w:r>
      <w:r>
        <w:rPr>
          <w:rFonts w:hint="eastAsia" w:ascii="仿宋" w:hAnsi="仿宋" w:eastAsia="仿宋" w:cs="仿宋"/>
          <w:color w:val="auto"/>
          <w:sz w:val="28"/>
          <w:szCs w:val="28"/>
          <w:highlight w:val="none"/>
          <w:u w:val="single"/>
        </w:rPr>
        <w:t> 202</w:t>
      </w:r>
      <w:r>
        <w:rPr>
          <w:rFonts w:hint="eastAsia" w:ascii="仿宋" w:hAnsi="仿宋" w:eastAsia="仿宋" w:cs="仿宋"/>
          <w:color w:val="auto"/>
          <w:sz w:val="28"/>
          <w:szCs w:val="28"/>
          <w:highlight w:val="none"/>
          <w:u w:val="single"/>
          <w:lang w:val="en-US" w:eastAsia="zh-CN"/>
        </w:rPr>
        <w:t>5</w:t>
      </w:r>
      <w:r>
        <w:rPr>
          <w:rFonts w:hint="eastAsia" w:ascii="仿宋" w:hAnsi="仿宋" w:eastAsia="仿宋" w:cs="仿宋"/>
          <w:color w:val="auto"/>
          <w:sz w:val="28"/>
          <w:szCs w:val="28"/>
          <w:highlight w:val="none"/>
          <w:u w:val="single"/>
        </w:rPr>
        <w:t>年</w:t>
      </w:r>
      <w:r>
        <w:rPr>
          <w:rFonts w:hint="eastAsia" w:ascii="仿宋" w:hAnsi="仿宋" w:eastAsia="仿宋" w:cs="仿宋"/>
          <w:color w:val="auto"/>
          <w:sz w:val="28"/>
          <w:szCs w:val="28"/>
          <w:highlight w:val="none"/>
          <w:u w:val="single"/>
          <w:lang w:val="en-US" w:eastAsia="zh-CN"/>
        </w:rPr>
        <w:t>12</w:t>
      </w:r>
      <w:r>
        <w:rPr>
          <w:rFonts w:hint="eastAsia" w:ascii="仿宋" w:hAnsi="仿宋" w:eastAsia="仿宋" w:cs="仿宋"/>
          <w:color w:val="auto"/>
          <w:sz w:val="28"/>
          <w:szCs w:val="28"/>
          <w:highlight w:val="none"/>
          <w:u w:val="single"/>
        </w:rPr>
        <w:t>月</w:t>
      </w:r>
      <w:r>
        <w:rPr>
          <w:rFonts w:hint="eastAsia" w:ascii="仿宋" w:hAnsi="仿宋" w:eastAsia="仿宋" w:cs="仿宋"/>
          <w:color w:val="auto"/>
          <w:sz w:val="28"/>
          <w:szCs w:val="28"/>
          <w:highlight w:val="none"/>
          <w:u w:val="single"/>
          <w:lang w:val="en-US" w:eastAsia="zh-CN"/>
        </w:rPr>
        <w:t>3</w:t>
      </w:r>
      <w:r>
        <w:rPr>
          <w:rFonts w:hint="eastAsia" w:ascii="仿宋" w:hAnsi="仿宋" w:eastAsia="仿宋" w:cs="仿宋"/>
          <w:color w:val="auto"/>
          <w:sz w:val="28"/>
          <w:szCs w:val="28"/>
          <w:highlight w:val="none"/>
          <w:u w:val="single"/>
        </w:rPr>
        <w:t>日</w:t>
      </w:r>
      <w:r>
        <w:rPr>
          <w:rFonts w:hint="eastAsia" w:ascii="仿宋" w:hAnsi="仿宋" w:eastAsia="仿宋" w:cs="仿宋"/>
          <w:color w:val="auto"/>
          <w:sz w:val="28"/>
          <w:szCs w:val="28"/>
          <w:highlight w:val="none"/>
          <w:u w:val="single"/>
          <w:lang w:val="en-US" w:eastAsia="zh-CN"/>
        </w:rPr>
        <w:t>9</w:t>
      </w:r>
      <w:r>
        <w:rPr>
          <w:rFonts w:hint="eastAsia" w:ascii="仿宋" w:hAnsi="仿宋" w:eastAsia="仿宋" w:cs="仿宋"/>
          <w:color w:val="auto"/>
          <w:sz w:val="28"/>
          <w:szCs w:val="28"/>
          <w:highlight w:val="none"/>
          <w:u w:val="single"/>
        </w:rPr>
        <w:t>点</w:t>
      </w:r>
      <w:r>
        <w:rPr>
          <w:rFonts w:hint="eastAsia" w:ascii="仿宋" w:hAnsi="仿宋" w:eastAsia="仿宋" w:cs="仿宋"/>
          <w:color w:val="auto"/>
          <w:sz w:val="28"/>
          <w:szCs w:val="28"/>
          <w:highlight w:val="none"/>
          <w:u w:val="single"/>
          <w:lang w:val="en-US" w:eastAsia="zh-CN"/>
        </w:rPr>
        <w:t>00</w:t>
      </w:r>
      <w:r>
        <w:rPr>
          <w:rFonts w:hint="eastAsia" w:ascii="仿宋" w:hAnsi="仿宋" w:eastAsia="仿宋" w:cs="仿宋"/>
          <w:color w:val="auto"/>
          <w:sz w:val="28"/>
          <w:szCs w:val="28"/>
          <w:highlight w:val="none"/>
          <w:u w:val="single"/>
        </w:rPr>
        <w:t>分（</w:t>
      </w:r>
      <w:r>
        <w:rPr>
          <w:rFonts w:hint="eastAsia" w:ascii="仿宋" w:hAnsi="仿宋" w:eastAsia="仿宋" w:cs="仿宋"/>
          <w:color w:val="auto"/>
          <w:sz w:val="28"/>
          <w:szCs w:val="28"/>
          <w:highlight w:val="none"/>
        </w:rPr>
        <w:t>北京时间）前递交投标文件。</w:t>
      </w:r>
    </w:p>
    <w:p w14:paraId="20ABE647">
      <w:pPr>
        <w:pStyle w:val="13"/>
        <w:keepNext/>
        <w:keepLines/>
        <w:pageBreakBefore w:val="0"/>
        <w:kinsoku/>
        <w:wordWrap/>
        <w:overflowPunct/>
        <w:topLinePunct w:val="0"/>
        <w:autoSpaceDE/>
        <w:autoSpaceDN/>
        <w:bidi w:val="0"/>
        <w:adjustRightInd/>
        <w:snapToGrid/>
        <w:spacing w:before="145" w:beforeAutospacing="0" w:after="145" w:afterAutospacing="0" w:line="520" w:lineRule="exact"/>
        <w:ind w:left="-525" w:leftChars="-250" w:right="-525" w:rightChars="-250" w:firstLine="498"/>
        <w:jc w:val="both"/>
        <w:textAlignment w:val="auto"/>
        <w:rPr>
          <w:color w:val="auto"/>
          <w:highlight w:val="none"/>
        </w:rPr>
      </w:pPr>
      <w:bookmarkStart w:id="7" w:name="_Toc35393621"/>
      <w:bookmarkStart w:id="8" w:name="_Toc28359002"/>
      <w:bookmarkStart w:id="9" w:name="_Hlk24379207"/>
      <w:bookmarkStart w:id="10" w:name="_Toc38985263"/>
      <w:bookmarkStart w:id="11" w:name="_Toc35393790"/>
      <w:bookmarkStart w:id="12" w:name="_Toc28359079"/>
      <w:r>
        <w:rPr>
          <w:rFonts w:ascii="Times New Roman" w:hAnsi="Times New Roman"/>
          <w:b/>
          <w:color w:val="auto"/>
          <w:sz w:val="32"/>
          <w:szCs w:val="32"/>
          <w:highlight w:val="none"/>
        </w:rPr>
        <w:t>一、项目基本情况</w:t>
      </w:r>
      <w:bookmarkEnd w:id="7"/>
      <w:bookmarkEnd w:id="8"/>
      <w:bookmarkEnd w:id="9"/>
      <w:bookmarkEnd w:id="10"/>
      <w:bookmarkEnd w:id="11"/>
      <w:bookmarkEnd w:id="12"/>
    </w:p>
    <w:p w14:paraId="0E81ECE5">
      <w:pPr>
        <w:pStyle w:val="13"/>
        <w:pageBreakBefore w:val="0"/>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1.项目编号：</w:t>
      </w:r>
      <w:r>
        <w:rPr>
          <w:rFonts w:hint="eastAsia" w:ascii="仿宋" w:hAnsi="仿宋" w:eastAsia="仿宋" w:cs="仿宋"/>
          <w:color w:val="auto"/>
          <w:sz w:val="28"/>
          <w:szCs w:val="28"/>
          <w:highlight w:val="none"/>
          <w:lang w:eastAsia="zh-CN"/>
        </w:rPr>
        <w:t>JSZC-320903-JZCG-G2025-0044</w:t>
      </w:r>
      <w:r>
        <w:rPr>
          <w:rFonts w:hint="eastAsia" w:ascii="仿宋" w:hAnsi="仿宋" w:eastAsia="仿宋" w:cs="仿宋"/>
          <w:color w:val="auto"/>
          <w:sz w:val="28"/>
          <w:szCs w:val="28"/>
          <w:highlight w:val="none"/>
          <w:lang w:val="en-US" w:eastAsia="zh-CN"/>
        </w:rPr>
        <w:t xml:space="preserve">                      </w:t>
      </w:r>
    </w:p>
    <w:p w14:paraId="43B1C5E3">
      <w:pPr>
        <w:pStyle w:val="13"/>
        <w:pageBreakBefore w:val="0"/>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2.项目名称：</w:t>
      </w:r>
      <w:r>
        <w:rPr>
          <w:rFonts w:hint="eastAsia" w:ascii="仿宋" w:hAnsi="仿宋" w:eastAsia="仿宋" w:cs="仿宋"/>
          <w:color w:val="auto"/>
          <w:sz w:val="28"/>
          <w:szCs w:val="28"/>
          <w:highlight w:val="none"/>
          <w:lang w:eastAsia="zh-CN"/>
        </w:rPr>
        <w:t>盐城市盐都区龙冈镇卫生院2025年-2026年物业服务项目</w:t>
      </w:r>
    </w:p>
    <w:p w14:paraId="59DED730">
      <w:pPr>
        <w:pStyle w:val="13"/>
        <w:pageBreakBefore w:val="0"/>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3.采购方式：公开招标</w:t>
      </w:r>
    </w:p>
    <w:p w14:paraId="73BFD18A">
      <w:pPr>
        <w:pStyle w:val="13"/>
        <w:pageBreakBefore w:val="0"/>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4.预算金额：</w:t>
      </w:r>
      <w:r>
        <w:rPr>
          <w:rFonts w:hint="eastAsia" w:ascii="仿宋" w:hAnsi="仿宋" w:eastAsia="仿宋" w:cs="仿宋"/>
          <w:color w:val="auto"/>
          <w:sz w:val="28"/>
          <w:szCs w:val="28"/>
          <w:highlight w:val="none"/>
          <w:lang w:val="en-US" w:eastAsia="zh-CN"/>
        </w:rPr>
        <w:t>65万</w:t>
      </w:r>
      <w:r>
        <w:rPr>
          <w:rFonts w:hint="eastAsia" w:ascii="仿宋" w:hAnsi="仿宋" w:eastAsia="仿宋" w:cs="仿宋"/>
          <w:color w:val="auto"/>
          <w:sz w:val="28"/>
          <w:szCs w:val="28"/>
          <w:highlight w:val="none"/>
          <w:lang w:eastAsia="zh-CN"/>
        </w:rPr>
        <w:t>元</w:t>
      </w:r>
    </w:p>
    <w:p w14:paraId="6A433D27">
      <w:pPr>
        <w:pStyle w:val="13"/>
        <w:pageBreakBefore w:val="0"/>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最高限价：</w:t>
      </w:r>
      <w:r>
        <w:rPr>
          <w:rFonts w:hint="eastAsia" w:ascii="仿宋" w:hAnsi="仿宋" w:eastAsia="仿宋" w:cs="仿宋"/>
          <w:color w:val="auto"/>
          <w:sz w:val="28"/>
          <w:szCs w:val="28"/>
          <w:highlight w:val="none"/>
          <w:lang w:val="en-US" w:eastAsia="zh-CN"/>
        </w:rPr>
        <w:t>65</w:t>
      </w:r>
      <w:r>
        <w:rPr>
          <w:rFonts w:hint="eastAsia" w:ascii="仿宋" w:hAnsi="仿宋" w:eastAsia="仿宋" w:cs="仿宋"/>
          <w:color w:val="auto"/>
          <w:sz w:val="28"/>
          <w:szCs w:val="28"/>
          <w:highlight w:val="none"/>
        </w:rPr>
        <w:t>万元，投标报价超过</w:t>
      </w:r>
      <w:r>
        <w:rPr>
          <w:rFonts w:hint="eastAsia" w:ascii="仿宋" w:hAnsi="仿宋" w:eastAsia="仿宋" w:cs="仿宋"/>
          <w:color w:val="auto"/>
          <w:sz w:val="28"/>
          <w:szCs w:val="28"/>
          <w:highlight w:val="none"/>
          <w:lang w:val="en-US" w:eastAsia="zh-CN"/>
        </w:rPr>
        <w:t>最高限价</w:t>
      </w:r>
      <w:r>
        <w:rPr>
          <w:rFonts w:hint="eastAsia" w:ascii="仿宋" w:hAnsi="仿宋" w:eastAsia="仿宋" w:cs="仿宋"/>
          <w:color w:val="auto"/>
          <w:sz w:val="28"/>
          <w:szCs w:val="28"/>
          <w:highlight w:val="none"/>
        </w:rPr>
        <w:t>的投标无效。</w:t>
      </w:r>
    </w:p>
    <w:p w14:paraId="78B69DDA">
      <w:pPr>
        <w:pStyle w:val="13"/>
        <w:pageBreakBefore w:val="0"/>
        <w:kinsoku/>
        <w:wordWrap/>
        <w:overflowPunct/>
        <w:topLinePunct w:val="0"/>
        <w:autoSpaceDE/>
        <w:autoSpaceDN/>
        <w:bidi w:val="0"/>
        <w:adjustRightInd/>
        <w:snapToGrid/>
        <w:spacing w:beforeAutospacing="0" w:afterAutospacing="0"/>
        <w:ind w:left="-525" w:leftChars="-250" w:right="-525" w:rightChars="-250"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.采购需求：</w:t>
      </w:r>
      <w:r>
        <w:rPr>
          <w:rFonts w:hint="eastAsia" w:ascii="仿宋" w:hAnsi="仿宋" w:eastAsia="仿宋" w:cs="仿宋"/>
          <w:color w:val="auto"/>
          <w:sz w:val="28"/>
          <w:szCs w:val="28"/>
          <w:highlight w:val="none"/>
          <w:lang w:eastAsia="zh-CN"/>
        </w:rPr>
        <w:t>盐城市盐都区龙冈镇卫生院2025年-2026年物业服务项目</w:t>
      </w:r>
      <w:r>
        <w:rPr>
          <w:rFonts w:hint="eastAsia" w:ascii="仿宋" w:hAnsi="仿宋" w:eastAsia="仿宋" w:cs="仿宋"/>
          <w:color w:val="auto"/>
          <w:sz w:val="28"/>
          <w:szCs w:val="28"/>
          <w:highlight w:val="none"/>
        </w:rPr>
        <w:t>，详细内容见本招标文件第四章采购需求。</w:t>
      </w:r>
    </w:p>
    <w:p w14:paraId="64FE5693">
      <w:pPr>
        <w:pStyle w:val="13"/>
        <w:pageBreakBefore w:val="0"/>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7.合同履行期限：</w:t>
      </w:r>
      <w:r>
        <w:rPr>
          <w:rFonts w:hint="eastAsia" w:ascii="仿宋" w:hAnsi="仿宋" w:eastAsia="仿宋" w:cs="仿宋"/>
          <w:color w:val="auto"/>
          <w:sz w:val="28"/>
          <w:szCs w:val="28"/>
          <w:highlight w:val="none"/>
          <w:lang w:val="en-US" w:eastAsia="zh-CN"/>
        </w:rPr>
        <w:t>一年</w:t>
      </w:r>
      <w:r>
        <w:rPr>
          <w:rFonts w:hint="eastAsia" w:ascii="仿宋" w:hAnsi="仿宋" w:eastAsia="仿宋" w:cs="仿宋"/>
          <w:color w:val="auto"/>
          <w:sz w:val="28"/>
          <w:szCs w:val="28"/>
          <w:highlight w:val="none"/>
        </w:rPr>
        <w:t>，以合同签订日期为准。</w:t>
      </w:r>
    </w:p>
    <w:p w14:paraId="078C5518">
      <w:pPr>
        <w:pStyle w:val="13"/>
        <w:pageBreakBefore w:val="0"/>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ascii="仿宋" w:hAnsi="仿宋" w:eastAsia="仿宋" w:cs="仿宋"/>
          <w:color w:val="auto"/>
          <w:sz w:val="28"/>
          <w:szCs w:val="28"/>
          <w:highlight w:val="none"/>
          <w:shd w:val="clear" w:color="auto" w:fill="FFFF00"/>
        </w:rPr>
      </w:pPr>
      <w:r>
        <w:rPr>
          <w:rFonts w:hint="eastAsia" w:ascii="仿宋" w:hAnsi="仿宋" w:eastAsia="仿宋" w:cs="仿宋"/>
          <w:color w:val="auto"/>
          <w:sz w:val="28"/>
          <w:szCs w:val="28"/>
          <w:highlight w:val="none"/>
          <w:shd w:val="clear" w:color="auto" w:fill="FFFFFF"/>
        </w:rPr>
        <w:t>8.本项目不接受联合体</w:t>
      </w:r>
      <w:r>
        <w:rPr>
          <w:rFonts w:hint="eastAsia" w:ascii="仿宋" w:hAnsi="仿宋" w:eastAsia="仿宋" w:cs="仿宋"/>
          <w:color w:val="auto"/>
          <w:sz w:val="28"/>
          <w:szCs w:val="28"/>
          <w:highlight w:val="none"/>
        </w:rPr>
        <w:t>参与</w:t>
      </w:r>
      <w:r>
        <w:rPr>
          <w:rFonts w:hint="eastAsia" w:ascii="仿宋" w:hAnsi="仿宋" w:eastAsia="仿宋" w:cs="仿宋"/>
          <w:color w:val="auto"/>
          <w:sz w:val="28"/>
          <w:szCs w:val="28"/>
          <w:highlight w:val="none"/>
          <w:lang w:val="en-US" w:eastAsia="zh-CN"/>
        </w:rPr>
        <w:t>招标</w:t>
      </w:r>
      <w:r>
        <w:rPr>
          <w:rFonts w:hint="eastAsia" w:ascii="仿宋" w:hAnsi="仿宋" w:eastAsia="仿宋" w:cs="仿宋"/>
          <w:color w:val="auto"/>
          <w:sz w:val="28"/>
          <w:szCs w:val="28"/>
          <w:highlight w:val="none"/>
        </w:rPr>
        <w:t>。</w:t>
      </w:r>
    </w:p>
    <w:p w14:paraId="52E7AE2E">
      <w:pPr>
        <w:pStyle w:val="13"/>
        <w:keepNext/>
        <w:keepLines/>
        <w:pageBreakBefore w:val="0"/>
        <w:kinsoku/>
        <w:wordWrap/>
        <w:overflowPunct/>
        <w:topLinePunct w:val="0"/>
        <w:autoSpaceDE/>
        <w:autoSpaceDN/>
        <w:bidi w:val="0"/>
        <w:adjustRightInd/>
        <w:snapToGrid/>
        <w:spacing w:before="145" w:beforeAutospacing="0" w:after="145" w:afterAutospacing="0" w:line="520" w:lineRule="exact"/>
        <w:ind w:left="-525" w:leftChars="-250" w:right="-525" w:rightChars="-250" w:firstLine="498"/>
        <w:jc w:val="both"/>
        <w:textAlignment w:val="auto"/>
        <w:rPr>
          <w:color w:val="auto"/>
          <w:highlight w:val="none"/>
        </w:rPr>
      </w:pPr>
      <w:bookmarkStart w:id="13" w:name="_Toc28359080"/>
      <w:bookmarkStart w:id="14" w:name="_Toc28359003"/>
      <w:bookmarkStart w:id="15" w:name="_Toc38985264"/>
      <w:bookmarkStart w:id="16" w:name="_Toc35393622"/>
      <w:bookmarkStart w:id="17" w:name="_Toc35393791"/>
      <w:r>
        <w:rPr>
          <w:rFonts w:ascii="Times New Roman" w:hAnsi="Times New Roman"/>
          <w:b/>
          <w:color w:val="auto"/>
          <w:sz w:val="32"/>
          <w:szCs w:val="32"/>
          <w:highlight w:val="none"/>
        </w:rPr>
        <w:t>二、申请人的资格要求：</w:t>
      </w:r>
      <w:bookmarkEnd w:id="13"/>
      <w:bookmarkEnd w:id="14"/>
      <w:bookmarkEnd w:id="15"/>
      <w:bookmarkEnd w:id="16"/>
      <w:bookmarkEnd w:id="17"/>
    </w:p>
    <w:p w14:paraId="4FB8F964">
      <w:pPr>
        <w:pStyle w:val="13"/>
        <w:pageBreakBefore w:val="0"/>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1.满足《中华人民共和国政府采购法》第二十二条规定，并提供下列材料：</w:t>
      </w:r>
    </w:p>
    <w:p w14:paraId="76826CFA">
      <w:pPr>
        <w:pStyle w:val="13"/>
        <w:pageBreakBefore w:val="0"/>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1.1 法人或者其他组织的营业执照等证明文件，自然人的身份证明</w:t>
      </w:r>
      <w:r>
        <w:rPr>
          <w:rFonts w:hint="eastAsia" w:ascii="仿宋" w:hAnsi="仿宋" w:eastAsia="仿宋" w:cs="仿宋"/>
          <w:color w:val="auto"/>
          <w:sz w:val="28"/>
          <w:szCs w:val="28"/>
          <w:highlight w:val="none"/>
          <w:lang w:eastAsia="zh-CN"/>
        </w:rPr>
        <w:t>；</w:t>
      </w:r>
    </w:p>
    <w:p w14:paraId="75085039">
      <w:pPr>
        <w:pStyle w:val="13"/>
        <w:pageBreakBefore w:val="0"/>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1.2</w:t>
      </w:r>
      <w:r>
        <w:rPr>
          <w:rFonts w:hint="eastAsia" w:ascii="仿宋" w:hAnsi="仿宋" w:eastAsia="仿宋" w:cs="仿宋"/>
          <w:color w:val="auto"/>
          <w:sz w:val="28"/>
          <w:szCs w:val="28"/>
          <w:highlight w:val="none"/>
          <w:lang w:eastAsia="zh-CN"/>
        </w:rPr>
        <w:t>上一年度的财务状况报告</w:t>
      </w:r>
      <w:r>
        <w:rPr>
          <w:rFonts w:hint="eastAsia" w:ascii="仿宋" w:hAnsi="仿宋" w:eastAsia="仿宋" w:cs="仿宋"/>
          <w:color w:val="auto"/>
          <w:sz w:val="28"/>
          <w:szCs w:val="28"/>
          <w:highlight w:val="none"/>
        </w:rPr>
        <w:t>（成立不满一年无需提供）</w:t>
      </w:r>
      <w:r>
        <w:rPr>
          <w:rFonts w:hint="eastAsia" w:ascii="仿宋" w:hAnsi="仿宋" w:eastAsia="仿宋" w:cs="仿宋"/>
          <w:color w:val="auto"/>
          <w:sz w:val="28"/>
          <w:szCs w:val="28"/>
          <w:highlight w:val="none"/>
          <w:lang w:eastAsia="zh-CN"/>
        </w:rPr>
        <w:t>；</w:t>
      </w:r>
    </w:p>
    <w:p w14:paraId="0E347954">
      <w:pPr>
        <w:pStyle w:val="13"/>
        <w:pageBreakBefore w:val="0"/>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1.3具备履行合同所必需的设备和专业技术能力的书面声明</w:t>
      </w:r>
      <w:r>
        <w:rPr>
          <w:rFonts w:hint="eastAsia" w:ascii="仿宋" w:hAnsi="仿宋" w:eastAsia="仿宋" w:cs="仿宋"/>
          <w:color w:val="auto"/>
          <w:sz w:val="28"/>
          <w:szCs w:val="28"/>
          <w:highlight w:val="none"/>
          <w:lang w:eastAsia="zh-CN"/>
        </w:rPr>
        <w:t>；</w:t>
      </w:r>
    </w:p>
    <w:p w14:paraId="49A2B7C7">
      <w:pPr>
        <w:pStyle w:val="13"/>
        <w:pageBreakBefore w:val="0"/>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1.4依法缴纳税收和社会保障资金的相关材料（提供提交</w:t>
      </w:r>
      <w:r>
        <w:rPr>
          <w:rFonts w:hint="eastAsia" w:ascii="仿宋" w:hAnsi="仿宋" w:eastAsia="仿宋" w:cs="仿宋"/>
          <w:color w:val="auto"/>
          <w:sz w:val="28"/>
          <w:szCs w:val="28"/>
          <w:highlight w:val="none"/>
          <w:lang w:eastAsia="zh-CN"/>
        </w:rPr>
        <w:t>投标文件</w:t>
      </w:r>
      <w:r>
        <w:rPr>
          <w:rFonts w:hint="eastAsia" w:ascii="仿宋" w:hAnsi="仿宋" w:eastAsia="仿宋" w:cs="仿宋"/>
          <w:color w:val="auto"/>
          <w:sz w:val="28"/>
          <w:szCs w:val="28"/>
          <w:highlight w:val="none"/>
        </w:rPr>
        <w:t>截止时间前一年内至少一个月依法缴纳税收及缴纳社会保障资金的证明材料。供应商依法享受缓缴、免缴税收、社会保障资金的提供证明材料。）</w:t>
      </w:r>
      <w:r>
        <w:rPr>
          <w:rFonts w:hint="eastAsia" w:ascii="仿宋" w:hAnsi="仿宋" w:eastAsia="仿宋" w:cs="仿宋"/>
          <w:color w:val="auto"/>
          <w:sz w:val="28"/>
          <w:szCs w:val="28"/>
          <w:highlight w:val="none"/>
          <w:lang w:eastAsia="zh-CN"/>
        </w:rPr>
        <w:t>；</w:t>
      </w:r>
    </w:p>
    <w:p w14:paraId="0069EFBF">
      <w:pPr>
        <w:pStyle w:val="13"/>
        <w:pageBreakBefore w:val="0"/>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1.5参加政府采购活动前3年内在经营活动中没有重大违法记录的书面声明。</w:t>
      </w:r>
    </w:p>
    <w:p w14:paraId="3D822F72">
      <w:pPr>
        <w:pStyle w:val="13"/>
        <w:pageBreakBefore w:val="0"/>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1.6法律、行政法规规定的其他条件。</w:t>
      </w:r>
    </w:p>
    <w:p w14:paraId="515CEBA2">
      <w:pPr>
        <w:pStyle w:val="13"/>
        <w:pageBreakBefore w:val="0"/>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1.7在“信用中国”网站查询，无被列入失信被执行人、重大税收违法案件当事人名单、政府采购严重失信行为记录名单及其他不符合《中华人民共和国政府采购法》第二十二条规定条件的信用记录。（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color w:val="auto"/>
          <w:sz w:val="28"/>
          <w:szCs w:val="28"/>
          <w:highlight w:val="none"/>
          <w:lang w:eastAsia="zh-CN"/>
        </w:rPr>
        <w:t>投标文件</w:t>
      </w:r>
      <w:r>
        <w:rPr>
          <w:rFonts w:hint="eastAsia" w:ascii="仿宋" w:hAnsi="仿宋" w:eastAsia="仿宋" w:cs="仿宋"/>
          <w:color w:val="auto"/>
          <w:sz w:val="28"/>
          <w:szCs w:val="28"/>
          <w:highlight w:val="none"/>
        </w:rPr>
        <w:t>中无需提供证明材料）</w:t>
      </w:r>
    </w:p>
    <w:p w14:paraId="24A0E8EC">
      <w:pPr>
        <w:pStyle w:val="13"/>
        <w:pageBreakBefore w:val="0"/>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1.8单位负责人为同一人或者存在直接控股、管理关系的不同供应商，不得参加同一合同项下的政府采购活动。</w:t>
      </w:r>
    </w:p>
    <w:p w14:paraId="16A9A257">
      <w:pPr>
        <w:pStyle w:val="13"/>
        <w:pageBreakBefore w:val="0"/>
        <w:numPr>
          <w:ilvl w:val="0"/>
          <w:numId w:val="1"/>
        </w:numPr>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落实政府采购政策需满足的资格要求：</w:t>
      </w:r>
      <w:r>
        <w:rPr>
          <w:rFonts w:hint="eastAsia" w:ascii="仿宋" w:hAnsi="仿宋" w:eastAsia="仿宋" w:cs="仿宋"/>
          <w:color w:val="auto"/>
          <w:sz w:val="28"/>
          <w:szCs w:val="28"/>
          <w:highlight w:val="none"/>
          <w:lang w:eastAsia="zh-CN"/>
        </w:rPr>
        <w:t>本项目专门面向中小企业采购。采购标的的所属行业为物业管理，投标人需按照采购文件的要求提供相应的《中小企业声明函》。企业标准请参照《关于印发中小企业划型标准规定的通知》（工信部联企业[2011]300号）文件规定自行填写。</w:t>
      </w:r>
    </w:p>
    <w:p w14:paraId="19D6257E">
      <w:pPr>
        <w:pStyle w:val="13"/>
        <w:pageBreakBefore w:val="0"/>
        <w:numPr>
          <w:ilvl w:val="0"/>
          <w:numId w:val="1"/>
        </w:numPr>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本项目的特定资格要求：无</w:t>
      </w:r>
      <w:r>
        <w:rPr>
          <w:rFonts w:hint="eastAsia" w:ascii="仿宋" w:hAnsi="仿宋" w:eastAsia="仿宋" w:cs="仿宋"/>
          <w:color w:val="auto"/>
          <w:sz w:val="28"/>
          <w:szCs w:val="28"/>
          <w:highlight w:val="none"/>
          <w:lang w:eastAsia="zh-CN"/>
        </w:rPr>
        <w:t>。</w:t>
      </w:r>
    </w:p>
    <w:p w14:paraId="1D1BFFE3">
      <w:pPr>
        <w:pStyle w:val="13"/>
        <w:keepNext/>
        <w:keepLines/>
        <w:pageBreakBefore w:val="0"/>
        <w:kinsoku/>
        <w:wordWrap/>
        <w:overflowPunct/>
        <w:topLinePunct w:val="0"/>
        <w:autoSpaceDE/>
        <w:autoSpaceDN/>
        <w:bidi w:val="0"/>
        <w:adjustRightInd/>
        <w:snapToGrid/>
        <w:spacing w:before="145" w:beforeAutospacing="0" w:after="145" w:afterAutospacing="0" w:line="520" w:lineRule="exact"/>
        <w:ind w:left="-525" w:leftChars="-250" w:right="-525" w:rightChars="-250" w:firstLine="498"/>
        <w:jc w:val="both"/>
        <w:textAlignment w:val="auto"/>
        <w:rPr>
          <w:color w:val="auto"/>
          <w:highlight w:val="none"/>
        </w:rPr>
      </w:pPr>
      <w:r>
        <w:rPr>
          <w:rFonts w:ascii="Times New Roman" w:hAnsi="Times New Roman"/>
          <w:b/>
          <w:color w:val="auto"/>
          <w:sz w:val="32"/>
          <w:szCs w:val="32"/>
          <w:highlight w:val="none"/>
        </w:rPr>
        <w:t>三、获取招标文件</w:t>
      </w:r>
    </w:p>
    <w:p w14:paraId="65427E54">
      <w:pPr>
        <w:pStyle w:val="13"/>
        <w:pageBreakBefore w:val="0"/>
        <w:widowControl/>
        <w:shd w:val="clear" w:color="auto" w:fill="FFFFFF"/>
        <w:kinsoku/>
        <w:wordWrap/>
        <w:overflowPunct/>
        <w:topLinePunct w:val="0"/>
        <w:autoSpaceDE/>
        <w:autoSpaceDN/>
        <w:bidi w:val="0"/>
        <w:adjustRightInd/>
        <w:snapToGrid/>
        <w:spacing w:beforeAutospacing="0" w:afterAutospacing="0" w:line="520" w:lineRule="exact"/>
        <w:ind w:left="-525" w:leftChars="-250" w:right="-525" w:rightChars="-250" w:firstLine="540"/>
        <w:jc w:val="both"/>
        <w:textAlignment w:val="auto"/>
        <w:rPr>
          <w:rFonts w:hint="eastAsia" w:ascii="仿宋" w:hAnsi="仿宋" w:eastAsia="仿宋" w:cs="仿宋"/>
          <w:color w:val="auto"/>
          <w:sz w:val="28"/>
          <w:szCs w:val="28"/>
          <w:highlight w:val="none"/>
          <w:lang w:val="en-US" w:eastAsia="zh-CN"/>
        </w:rPr>
      </w:pPr>
      <w:bookmarkStart w:id="18" w:name="_Toc28359005"/>
      <w:bookmarkStart w:id="19" w:name="_Toc35393624"/>
      <w:bookmarkStart w:id="20" w:name="_Toc38985266"/>
      <w:bookmarkStart w:id="21" w:name="_Toc28359082"/>
      <w:bookmarkStart w:id="22" w:name="_Toc35393793"/>
      <w:r>
        <w:rPr>
          <w:rFonts w:hint="eastAsia" w:ascii="仿宋" w:hAnsi="仿宋" w:eastAsia="仿宋" w:cs="仿宋"/>
          <w:color w:val="auto"/>
          <w:sz w:val="28"/>
          <w:szCs w:val="28"/>
          <w:highlight w:val="none"/>
        </w:rPr>
        <w:t>1.时间：</w:t>
      </w:r>
      <w:bookmarkEnd w:id="18"/>
      <w:bookmarkEnd w:id="19"/>
      <w:bookmarkEnd w:id="20"/>
      <w:bookmarkEnd w:id="21"/>
      <w:bookmarkEnd w:id="22"/>
      <w:r>
        <w:rPr>
          <w:rFonts w:hint="eastAsia" w:ascii="仿宋" w:hAnsi="仿宋" w:eastAsia="仿宋" w:cs="仿宋"/>
          <w:color w:val="auto"/>
          <w:sz w:val="28"/>
          <w:szCs w:val="28"/>
          <w:highlight w:val="none"/>
        </w:rPr>
        <w:t>自招标文件公告发布之日起5个工作日</w:t>
      </w:r>
      <w:r>
        <w:rPr>
          <w:rFonts w:hint="eastAsia" w:ascii="仿宋" w:hAnsi="仿宋" w:eastAsia="仿宋" w:cs="仿宋"/>
          <w:color w:val="auto"/>
          <w:sz w:val="28"/>
          <w:szCs w:val="28"/>
          <w:highlight w:val="none"/>
          <w:lang w:val="en-US" w:eastAsia="zh-CN"/>
        </w:rPr>
        <w:tab/>
      </w:r>
    </w:p>
    <w:p w14:paraId="516A3324">
      <w:pPr>
        <w:pageBreakBefore w:val="0"/>
        <w:widowControl/>
        <w:kinsoku/>
        <w:wordWrap/>
        <w:overflowPunct/>
        <w:topLinePunct w:val="0"/>
        <w:autoSpaceDE/>
        <w:autoSpaceDN/>
        <w:bidi w:val="0"/>
        <w:adjustRightInd/>
        <w:snapToGrid/>
        <w:spacing w:line="520" w:lineRule="exact"/>
        <w:ind w:left="-525" w:leftChars="-250" w:right="-525" w:rightChars="-250" w:firstLine="48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2.地点：</w:t>
      </w:r>
      <w:r>
        <w:rPr>
          <w:rFonts w:hint="eastAsia" w:ascii="仿宋" w:hAnsi="仿宋" w:eastAsia="仿宋" w:cs="仿宋"/>
          <w:color w:val="auto"/>
          <w:kern w:val="0"/>
          <w:sz w:val="28"/>
          <w:szCs w:val="28"/>
          <w:highlight w:val="none"/>
        </w:rPr>
        <w:t>“苏采云”系统内免费下载（投标人必须在苏采云系统中获取采购文件，方能参与政府采购项目）</w:t>
      </w:r>
    </w:p>
    <w:p w14:paraId="7282C23E">
      <w:pPr>
        <w:pStyle w:val="13"/>
        <w:pageBreakBefore w:val="0"/>
        <w:kinsoku/>
        <w:wordWrap/>
        <w:overflowPunct/>
        <w:topLinePunct w:val="0"/>
        <w:autoSpaceDE/>
        <w:autoSpaceDN/>
        <w:bidi w:val="0"/>
        <w:adjustRightInd/>
        <w:snapToGrid/>
        <w:spacing w:beforeAutospacing="0" w:afterAutospacing="0" w:line="520" w:lineRule="exact"/>
        <w:ind w:left="-525" w:leftChars="-250" w:right="-525" w:rightChars="-250" w:firstLine="54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3.方式：本项目采用网上注册登记方式</w:t>
      </w:r>
    </w:p>
    <w:p w14:paraId="1F44CE81">
      <w:pPr>
        <w:pageBreakBefore w:val="0"/>
        <w:widowControl/>
        <w:kinsoku/>
        <w:wordWrap/>
        <w:overflowPunct/>
        <w:topLinePunct w:val="0"/>
        <w:autoSpaceDE/>
        <w:autoSpaceDN/>
        <w:bidi w:val="0"/>
        <w:adjustRightInd/>
        <w:snapToGrid/>
        <w:spacing w:line="520" w:lineRule="exact"/>
        <w:ind w:left="-525" w:leftChars="-250" w:right="-525" w:rightChars="-250" w:firstLine="480"/>
        <w:jc w:val="left"/>
        <w:textAlignment w:val="auto"/>
        <w:rPr>
          <w:color w:val="auto"/>
          <w:highlight w:val="none"/>
        </w:rPr>
      </w:pPr>
      <w:r>
        <w:rPr>
          <w:rFonts w:hint="eastAsia" w:ascii="仿宋" w:hAnsi="仿宋" w:eastAsia="仿宋" w:cs="仿宋"/>
          <w:color w:val="auto"/>
          <w:sz w:val="28"/>
          <w:szCs w:val="28"/>
          <w:highlight w:val="none"/>
        </w:rPr>
        <w:t>4.售价：0元</w:t>
      </w:r>
    </w:p>
    <w:p w14:paraId="3D6CB799">
      <w:pPr>
        <w:pStyle w:val="13"/>
        <w:keepNext/>
        <w:keepLines/>
        <w:pageBreakBefore w:val="0"/>
        <w:kinsoku/>
        <w:wordWrap/>
        <w:overflowPunct/>
        <w:topLinePunct w:val="0"/>
        <w:autoSpaceDE/>
        <w:autoSpaceDN/>
        <w:bidi w:val="0"/>
        <w:adjustRightInd/>
        <w:snapToGrid/>
        <w:spacing w:before="145" w:beforeAutospacing="0" w:after="145" w:afterAutospacing="0" w:line="520" w:lineRule="exact"/>
        <w:ind w:left="-525" w:leftChars="-250" w:right="-525" w:rightChars="-250" w:firstLine="498"/>
        <w:jc w:val="both"/>
        <w:textAlignment w:val="auto"/>
        <w:rPr>
          <w:color w:val="auto"/>
          <w:highlight w:val="none"/>
        </w:rPr>
      </w:pPr>
      <w:r>
        <w:rPr>
          <w:rFonts w:ascii="Times New Roman" w:hAnsi="Times New Roman"/>
          <w:b/>
          <w:color w:val="auto"/>
          <w:sz w:val="32"/>
          <w:szCs w:val="32"/>
          <w:highlight w:val="none"/>
        </w:rPr>
        <w:t>四、提交投标文件截止时间、开标时间和地点</w:t>
      </w:r>
    </w:p>
    <w:p w14:paraId="63A0EA7C">
      <w:pPr>
        <w:pStyle w:val="13"/>
        <w:pageBreakBefore w:val="0"/>
        <w:widowControl/>
        <w:shd w:val="clear" w:color="auto" w:fill="FFFFFF"/>
        <w:kinsoku/>
        <w:wordWrap/>
        <w:overflowPunct/>
        <w:topLinePunct w:val="0"/>
        <w:autoSpaceDE/>
        <w:autoSpaceDN/>
        <w:bidi w:val="0"/>
        <w:adjustRightInd/>
        <w:snapToGrid/>
        <w:spacing w:beforeAutospacing="0" w:afterAutospacing="0" w:line="520" w:lineRule="exact"/>
        <w:ind w:left="-525" w:leftChars="-250" w:right="-525" w:rightChars="-250" w:firstLine="54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1.时间：</w:t>
      </w:r>
      <w:r>
        <w:rPr>
          <w:rFonts w:hint="eastAsia" w:ascii="仿宋" w:hAnsi="仿宋" w:eastAsia="仿宋" w:cs="仿宋"/>
          <w:color w:val="auto"/>
          <w:sz w:val="28"/>
          <w:szCs w:val="28"/>
          <w:highlight w:val="none"/>
          <w:u w:val="single"/>
          <w:shd w:val="clear" w:color="auto" w:fill="FFFFFF"/>
        </w:rPr>
        <w:t>202</w:t>
      </w:r>
      <w:r>
        <w:rPr>
          <w:rFonts w:hint="eastAsia" w:ascii="仿宋" w:hAnsi="仿宋" w:eastAsia="仿宋" w:cs="仿宋"/>
          <w:color w:val="auto"/>
          <w:sz w:val="28"/>
          <w:szCs w:val="28"/>
          <w:highlight w:val="none"/>
          <w:u w:val="single"/>
          <w:shd w:val="clear" w:color="auto" w:fill="FFFFFF"/>
          <w:lang w:val="en-US" w:eastAsia="zh-CN"/>
        </w:rPr>
        <w:t>5</w:t>
      </w:r>
      <w:r>
        <w:rPr>
          <w:rFonts w:hint="eastAsia" w:ascii="仿宋" w:hAnsi="仿宋" w:eastAsia="仿宋" w:cs="仿宋"/>
          <w:color w:val="auto"/>
          <w:sz w:val="28"/>
          <w:szCs w:val="28"/>
          <w:highlight w:val="none"/>
          <w:u w:val="single"/>
          <w:shd w:val="clear" w:color="auto" w:fill="FFFFFF"/>
        </w:rPr>
        <w:t>年</w:t>
      </w:r>
      <w:r>
        <w:rPr>
          <w:rFonts w:hint="eastAsia" w:ascii="仿宋" w:hAnsi="仿宋" w:eastAsia="仿宋" w:cs="仿宋"/>
          <w:color w:val="auto"/>
          <w:sz w:val="28"/>
          <w:szCs w:val="28"/>
          <w:highlight w:val="none"/>
          <w:u w:val="single"/>
          <w:shd w:val="clear" w:color="auto" w:fill="FFFFFF"/>
          <w:lang w:val="en-US" w:eastAsia="zh-CN"/>
        </w:rPr>
        <w:t>12</w:t>
      </w:r>
      <w:r>
        <w:rPr>
          <w:rFonts w:hint="eastAsia" w:ascii="仿宋" w:hAnsi="仿宋" w:eastAsia="仿宋" w:cs="仿宋"/>
          <w:color w:val="auto"/>
          <w:sz w:val="28"/>
          <w:szCs w:val="28"/>
          <w:highlight w:val="none"/>
          <w:u w:val="single"/>
          <w:shd w:val="clear" w:color="auto" w:fill="FFFFFF"/>
        </w:rPr>
        <w:t>月</w:t>
      </w:r>
      <w:r>
        <w:rPr>
          <w:rFonts w:hint="eastAsia" w:ascii="仿宋" w:hAnsi="仿宋" w:eastAsia="仿宋" w:cs="仿宋"/>
          <w:color w:val="auto"/>
          <w:sz w:val="28"/>
          <w:szCs w:val="28"/>
          <w:highlight w:val="none"/>
          <w:u w:val="single"/>
          <w:shd w:val="clear" w:color="auto" w:fill="FFFFFF"/>
          <w:lang w:val="en-US" w:eastAsia="zh-CN"/>
        </w:rPr>
        <w:t>3</w:t>
      </w:r>
      <w:r>
        <w:rPr>
          <w:rFonts w:hint="eastAsia" w:ascii="仿宋" w:hAnsi="仿宋" w:eastAsia="仿宋" w:cs="仿宋"/>
          <w:color w:val="auto"/>
          <w:sz w:val="28"/>
          <w:szCs w:val="28"/>
          <w:highlight w:val="none"/>
          <w:u w:val="single"/>
          <w:shd w:val="clear" w:color="auto" w:fill="FFFFFF"/>
        </w:rPr>
        <w:t>日</w:t>
      </w:r>
      <w:r>
        <w:rPr>
          <w:rFonts w:hint="eastAsia" w:ascii="仿宋" w:hAnsi="仿宋" w:eastAsia="仿宋" w:cs="仿宋"/>
          <w:color w:val="auto"/>
          <w:sz w:val="28"/>
          <w:szCs w:val="28"/>
          <w:highlight w:val="none"/>
          <w:u w:val="single"/>
          <w:shd w:val="clear" w:color="auto" w:fill="FFFFFF"/>
          <w:lang w:val="en-US" w:eastAsia="zh-CN"/>
        </w:rPr>
        <w:t>9：00</w:t>
      </w:r>
      <w:r>
        <w:rPr>
          <w:rFonts w:hint="eastAsia" w:ascii="仿宋" w:hAnsi="仿宋" w:eastAsia="仿宋" w:cs="仿宋"/>
          <w:color w:val="auto"/>
          <w:sz w:val="28"/>
          <w:szCs w:val="28"/>
          <w:highlight w:val="none"/>
        </w:rPr>
        <w:t>（北京时间）。</w:t>
      </w:r>
    </w:p>
    <w:p w14:paraId="2669CFC9">
      <w:pPr>
        <w:pStyle w:val="13"/>
        <w:pageBreakBefore w:val="0"/>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2.地点：苏采云“不见面”开标大厅。</w:t>
      </w:r>
    </w:p>
    <w:p w14:paraId="19AE73F0">
      <w:pPr>
        <w:pStyle w:val="13"/>
        <w:keepNext/>
        <w:keepLines/>
        <w:pageBreakBefore w:val="0"/>
        <w:kinsoku/>
        <w:wordWrap/>
        <w:overflowPunct/>
        <w:topLinePunct w:val="0"/>
        <w:autoSpaceDE/>
        <w:autoSpaceDN/>
        <w:bidi w:val="0"/>
        <w:adjustRightInd/>
        <w:snapToGrid/>
        <w:spacing w:before="145" w:beforeAutospacing="0" w:after="145" w:afterAutospacing="0" w:line="520" w:lineRule="exact"/>
        <w:ind w:left="-525" w:leftChars="-250" w:right="-525" w:rightChars="-250" w:firstLine="498"/>
        <w:jc w:val="both"/>
        <w:textAlignment w:val="auto"/>
        <w:rPr>
          <w:color w:val="auto"/>
          <w:highlight w:val="none"/>
        </w:rPr>
      </w:pPr>
      <w:bookmarkStart w:id="23" w:name="_Toc28359084"/>
      <w:bookmarkStart w:id="24" w:name="_Toc35393625"/>
      <w:bookmarkStart w:id="25" w:name="_Toc38985267"/>
      <w:bookmarkStart w:id="26" w:name="_Toc35393794"/>
      <w:bookmarkStart w:id="27" w:name="_Toc28359007"/>
      <w:r>
        <w:rPr>
          <w:rFonts w:ascii="Times New Roman" w:hAnsi="Times New Roman"/>
          <w:b/>
          <w:color w:val="auto"/>
          <w:sz w:val="32"/>
          <w:szCs w:val="32"/>
          <w:highlight w:val="none"/>
        </w:rPr>
        <w:t>五、公告期限</w:t>
      </w:r>
      <w:bookmarkEnd w:id="23"/>
      <w:bookmarkEnd w:id="24"/>
      <w:bookmarkEnd w:id="25"/>
      <w:bookmarkEnd w:id="26"/>
      <w:bookmarkEnd w:id="27"/>
      <w:bookmarkStart w:id="211" w:name="_GoBack"/>
      <w:bookmarkEnd w:id="211"/>
    </w:p>
    <w:p w14:paraId="74B0E512">
      <w:pPr>
        <w:pStyle w:val="13"/>
        <w:pageBreakBefore w:val="0"/>
        <w:widowControl/>
        <w:shd w:val="clear" w:color="auto" w:fill="FFFFFF"/>
        <w:kinsoku/>
        <w:wordWrap/>
        <w:overflowPunct/>
        <w:topLinePunct w:val="0"/>
        <w:autoSpaceDE/>
        <w:autoSpaceDN/>
        <w:bidi w:val="0"/>
        <w:adjustRightInd/>
        <w:snapToGrid/>
        <w:spacing w:beforeAutospacing="0" w:afterAutospacing="0" w:line="520" w:lineRule="exact"/>
        <w:ind w:left="-525" w:leftChars="-250" w:right="-525" w:rightChars="-250" w:firstLine="560"/>
        <w:jc w:val="both"/>
        <w:textAlignment w:val="auto"/>
        <w:rPr>
          <w:rFonts w:ascii="仿宋" w:hAnsi="仿宋" w:eastAsia="仿宋" w:cs="仿宋"/>
          <w:color w:val="auto"/>
          <w:sz w:val="28"/>
          <w:szCs w:val="28"/>
          <w:highlight w:val="none"/>
          <w:shd w:val="clear" w:color="auto" w:fill="FFFFFF"/>
        </w:rPr>
      </w:pPr>
      <w:bookmarkStart w:id="28" w:name="_Toc38985268"/>
      <w:bookmarkStart w:id="29" w:name="_Toc35393795"/>
      <w:bookmarkStart w:id="30" w:name="_Toc35393626"/>
      <w:r>
        <w:rPr>
          <w:rFonts w:hint="eastAsia" w:ascii="仿宋" w:hAnsi="仿宋" w:eastAsia="仿宋" w:cs="仿宋"/>
          <w:color w:val="auto"/>
          <w:sz w:val="28"/>
          <w:szCs w:val="28"/>
          <w:highlight w:val="none"/>
          <w:shd w:val="clear" w:color="auto" w:fill="FFFFFF"/>
        </w:rPr>
        <w:t>自本公告发布之日起5个工作日。</w:t>
      </w:r>
      <w:bookmarkEnd w:id="28"/>
      <w:bookmarkEnd w:id="29"/>
      <w:bookmarkEnd w:id="30"/>
    </w:p>
    <w:p w14:paraId="3A96D6E7">
      <w:pPr>
        <w:pStyle w:val="13"/>
        <w:keepNext/>
        <w:keepLines/>
        <w:pageBreakBefore w:val="0"/>
        <w:kinsoku/>
        <w:wordWrap/>
        <w:overflowPunct/>
        <w:topLinePunct w:val="0"/>
        <w:autoSpaceDE/>
        <w:autoSpaceDN/>
        <w:bidi w:val="0"/>
        <w:adjustRightInd/>
        <w:snapToGrid/>
        <w:spacing w:before="145" w:beforeAutospacing="0" w:after="145" w:afterAutospacing="0" w:line="520" w:lineRule="exact"/>
        <w:ind w:left="-525" w:leftChars="-250" w:right="-525" w:rightChars="-250" w:firstLine="498"/>
        <w:jc w:val="both"/>
        <w:textAlignment w:val="auto"/>
        <w:rPr>
          <w:color w:val="auto"/>
          <w:highlight w:val="none"/>
        </w:rPr>
      </w:pPr>
      <w:r>
        <w:rPr>
          <w:rFonts w:ascii="Times New Roman" w:hAnsi="Times New Roman"/>
          <w:b/>
          <w:color w:val="auto"/>
          <w:sz w:val="32"/>
          <w:szCs w:val="32"/>
          <w:highlight w:val="none"/>
        </w:rPr>
        <w:t>六、其他补充事宜</w:t>
      </w:r>
    </w:p>
    <w:p w14:paraId="3EA354D7">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rPr>
      </w:pPr>
      <w:bookmarkStart w:id="31" w:name="_Toc28359018"/>
      <w:r>
        <w:rPr>
          <w:rFonts w:hint="eastAsia" w:ascii="仿宋" w:hAnsi="仿宋" w:eastAsia="仿宋" w:cs="仿宋"/>
          <w:color w:val="auto"/>
          <w:sz w:val="28"/>
          <w:szCs w:val="28"/>
          <w:highlight w:val="none"/>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68B550AE">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63AE087B">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2.潜在供应商访问电子招标响应交易平台的网络地址和方法： </w:t>
      </w:r>
    </w:p>
    <w:p w14:paraId="1F72AEBE">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782FDDB1">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2.2 潜在投标人访问“苏采云”系统方法：江苏政府采购网首页-“苏采云”链接。 </w:t>
      </w:r>
    </w:p>
    <w:p w14:paraId="187E1D99">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2.3 采购文件（后缀名为“.kedt”）、供应商操作手册及政府采购客户端 工具可通过“苏采云”系统相应链接进行下载。 </w:t>
      </w:r>
    </w:p>
    <w:p w14:paraId="5BFFF7FA">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2.4 采购代理机构将数据电文形式的采购文件加载至“苏采云”系统，供潜在供应商下载或者查阅。 </w:t>
      </w:r>
    </w:p>
    <w:p w14:paraId="499811E8">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2.5 请潜在投标单位提前安装相应的控件（详见《“苏采云”系统供应商操作手册》）并使用谷歌浏览器登录“苏采云”系统参与不见面开评标。 </w:t>
      </w:r>
    </w:p>
    <w:p w14:paraId="15E142FD">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如潜在投标人未按上述要求操作，将自行承担所产生的风险。</w:t>
      </w:r>
    </w:p>
    <w:p w14:paraId="5A0DE2FC">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3.有关本次招标的事项若存在变动或修改，敬请及时关注盐城市盐都区公共资源交易中心在“中国政府采购网”、“</w:t>
      </w:r>
      <w:r>
        <w:rPr>
          <w:rFonts w:hint="eastAsia" w:ascii="仿宋" w:hAnsi="仿宋" w:eastAsia="仿宋" w:cs="仿宋"/>
          <w:color w:val="auto"/>
          <w:sz w:val="28"/>
          <w:szCs w:val="28"/>
          <w:highlight w:val="none"/>
          <w:shd w:val="clear" w:color="auto" w:fill="FFFFFF"/>
          <w:lang w:eastAsia="zh-CN"/>
        </w:rPr>
        <w:t>江苏政府采购网</w:t>
      </w:r>
      <w:r>
        <w:rPr>
          <w:rFonts w:hint="eastAsia" w:ascii="仿宋" w:hAnsi="仿宋" w:eastAsia="仿宋" w:cs="仿宋"/>
          <w:color w:val="auto"/>
          <w:sz w:val="28"/>
          <w:szCs w:val="28"/>
          <w:highlight w:val="none"/>
          <w:shd w:val="clear" w:color="auto" w:fill="FFFFFF"/>
        </w:rPr>
        <w:t>”、“盐城市政府采购网”发布的更正公告。</w:t>
      </w:r>
    </w:p>
    <w:p w14:paraId="6089D3DD">
      <w:pPr>
        <w:pStyle w:val="1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left="-525" w:leftChars="-250" w:right="-525" w:rightChars="-250" w:firstLine="560"/>
        <w:jc w:val="both"/>
        <w:textAlignment w:val="auto"/>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4.本次招标不收取投标保证金，不收取质量保证金</w:t>
      </w:r>
      <w:r>
        <w:rPr>
          <w:rFonts w:hint="eastAsia" w:ascii="仿宋" w:hAnsi="仿宋" w:eastAsia="仿宋" w:cs="仿宋"/>
          <w:color w:val="auto"/>
          <w:w w:val="95"/>
          <w:sz w:val="28"/>
          <w:szCs w:val="28"/>
          <w:highlight w:val="none"/>
          <w:shd w:val="clear" w:color="auto" w:fill="FFFFFF"/>
        </w:rPr>
        <w:t>。</w:t>
      </w:r>
    </w:p>
    <w:p w14:paraId="43638987">
      <w:pPr>
        <w:pStyle w:val="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left="-525" w:leftChars="-250" w:right="-525" w:rightChars="-250" w:firstLine="560" w:firstLineChars="200"/>
        <w:jc w:val="both"/>
        <w:textAlignment w:val="auto"/>
        <w:rPr>
          <w:rFonts w:hint="default" w:ascii="微软雅黑" w:hAnsi="微软雅黑" w:eastAsia="微软雅黑" w:cs="微软雅黑"/>
          <w:b w:val="0"/>
          <w:bCs w:val="0"/>
          <w:color w:val="auto"/>
          <w:sz w:val="27"/>
          <w:szCs w:val="27"/>
          <w:highlight w:val="none"/>
        </w:rPr>
      </w:pPr>
      <w:r>
        <w:rPr>
          <w:rFonts w:ascii="黑体" w:eastAsia="黑体" w:cs="黑体"/>
          <w:b w:val="0"/>
          <w:bCs w:val="0"/>
          <w:color w:val="auto"/>
          <w:sz w:val="28"/>
          <w:szCs w:val="28"/>
          <w:highlight w:val="none"/>
          <w:shd w:val="clear" w:color="auto" w:fill="FFFFFF"/>
        </w:rPr>
        <w:t>七、对本次招标提出询问，请按以下方式联系。</w:t>
      </w:r>
      <w:bookmarkEnd w:id="31"/>
    </w:p>
    <w:p w14:paraId="6C9AA140">
      <w:pPr>
        <w:pStyle w:val="13"/>
        <w:pageBreakBefore w:val="0"/>
        <w:widowControl/>
        <w:shd w:val="clear" w:color="auto" w:fill="FFFFFF"/>
        <w:kinsoku/>
        <w:wordWrap/>
        <w:overflowPunct/>
        <w:topLinePunct w:val="0"/>
        <w:autoSpaceDE/>
        <w:autoSpaceDN/>
        <w:bidi w:val="0"/>
        <w:adjustRightInd/>
        <w:snapToGrid/>
        <w:spacing w:beforeAutospacing="0" w:afterAutospacing="0"/>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1.采购人信息</w:t>
      </w:r>
    </w:p>
    <w:p w14:paraId="318DD6BF">
      <w:pPr>
        <w:pStyle w:val="13"/>
        <w:pageBreakBefore w:val="0"/>
        <w:widowControl/>
        <w:shd w:val="clear" w:color="auto" w:fill="FFFFFF"/>
        <w:kinsoku/>
        <w:wordWrap/>
        <w:overflowPunct/>
        <w:topLinePunct w:val="0"/>
        <w:autoSpaceDE/>
        <w:autoSpaceDN/>
        <w:bidi w:val="0"/>
        <w:adjustRightInd/>
        <w:snapToGrid/>
        <w:spacing w:beforeAutospacing="0" w:afterAutospacing="0"/>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名称：盐城市盐都区龙冈镇卫生院</w:t>
      </w:r>
    </w:p>
    <w:p w14:paraId="7322CF0A">
      <w:pPr>
        <w:pStyle w:val="13"/>
        <w:pageBreakBefore w:val="0"/>
        <w:widowControl/>
        <w:shd w:val="clear" w:color="auto" w:fill="FFFFFF"/>
        <w:kinsoku/>
        <w:wordWrap/>
        <w:overflowPunct/>
        <w:topLinePunct w:val="0"/>
        <w:autoSpaceDE/>
        <w:autoSpaceDN/>
        <w:bidi w:val="0"/>
        <w:adjustRightInd/>
        <w:snapToGrid/>
        <w:spacing w:beforeAutospacing="0" w:afterAutospacing="0"/>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地址：盐城市盐都区龙冈镇盐兴中路56号</w:t>
      </w:r>
    </w:p>
    <w:p w14:paraId="1D61F9B1">
      <w:pPr>
        <w:pStyle w:val="13"/>
        <w:pageBreakBefore w:val="0"/>
        <w:widowControl/>
        <w:shd w:val="clear" w:color="auto" w:fill="FFFFFF"/>
        <w:kinsoku/>
        <w:wordWrap/>
        <w:overflowPunct/>
        <w:topLinePunct w:val="0"/>
        <w:autoSpaceDE/>
        <w:autoSpaceDN/>
        <w:bidi w:val="0"/>
        <w:adjustRightInd/>
        <w:snapToGrid/>
        <w:spacing w:beforeAutospacing="0" w:afterAutospacing="0"/>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联系人：陈院长</w:t>
      </w:r>
    </w:p>
    <w:p w14:paraId="71FF481F">
      <w:pPr>
        <w:pStyle w:val="13"/>
        <w:pageBreakBefore w:val="0"/>
        <w:widowControl/>
        <w:shd w:val="clear" w:color="auto" w:fill="FFFFFF"/>
        <w:kinsoku/>
        <w:wordWrap/>
        <w:overflowPunct/>
        <w:topLinePunct w:val="0"/>
        <w:autoSpaceDE/>
        <w:autoSpaceDN/>
        <w:bidi w:val="0"/>
        <w:adjustRightInd/>
        <w:snapToGrid/>
        <w:spacing w:beforeAutospacing="0" w:afterAutospacing="0"/>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联系电话：15961986760           </w:t>
      </w:r>
      <w:bookmarkStart w:id="32" w:name="_Toc28359010"/>
      <w:bookmarkStart w:id="33" w:name="_Toc28359087"/>
      <w:r>
        <w:rPr>
          <w:rFonts w:hint="eastAsia" w:ascii="仿宋" w:hAnsi="仿宋" w:eastAsia="仿宋" w:cs="仿宋"/>
          <w:color w:val="auto"/>
          <w:sz w:val="28"/>
          <w:szCs w:val="28"/>
          <w:highlight w:val="none"/>
          <w:shd w:val="clear" w:color="auto" w:fill="FFFFFF"/>
        </w:rPr>
        <w:t>      </w:t>
      </w:r>
      <w:bookmarkEnd w:id="32"/>
      <w:bookmarkEnd w:id="33"/>
    </w:p>
    <w:p w14:paraId="49806B21">
      <w:pPr>
        <w:pStyle w:val="13"/>
        <w:pageBreakBefore w:val="0"/>
        <w:widowControl/>
        <w:shd w:val="clear" w:color="auto" w:fill="FFFFFF"/>
        <w:kinsoku/>
        <w:wordWrap/>
        <w:overflowPunct/>
        <w:topLinePunct w:val="0"/>
        <w:autoSpaceDE/>
        <w:autoSpaceDN/>
        <w:bidi w:val="0"/>
        <w:adjustRightInd/>
        <w:snapToGrid/>
        <w:spacing w:beforeAutospacing="0" w:afterAutospacing="0"/>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2.采购代理机构信息（如有）</w:t>
      </w:r>
    </w:p>
    <w:p w14:paraId="21868270">
      <w:pPr>
        <w:pStyle w:val="13"/>
        <w:pageBreakBefore w:val="0"/>
        <w:widowControl/>
        <w:shd w:val="clear" w:color="auto" w:fill="FFFFFF"/>
        <w:kinsoku/>
        <w:wordWrap/>
        <w:overflowPunct/>
        <w:topLinePunct w:val="0"/>
        <w:autoSpaceDE/>
        <w:autoSpaceDN/>
        <w:bidi w:val="0"/>
        <w:adjustRightInd/>
        <w:snapToGrid/>
        <w:spacing w:beforeAutospacing="0" w:afterAutospacing="0"/>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单位名称：盐城市盐都区公共资源交易中心</w:t>
      </w:r>
    </w:p>
    <w:p w14:paraId="712648F8">
      <w:pPr>
        <w:pStyle w:val="13"/>
        <w:pageBreakBefore w:val="0"/>
        <w:widowControl/>
        <w:shd w:val="clear" w:color="auto" w:fill="FFFFFF"/>
        <w:kinsoku/>
        <w:wordWrap/>
        <w:overflowPunct/>
        <w:topLinePunct w:val="0"/>
        <w:autoSpaceDE/>
        <w:autoSpaceDN/>
        <w:bidi w:val="0"/>
        <w:adjustRightInd/>
        <w:snapToGrid/>
        <w:spacing w:beforeAutospacing="0" w:afterAutospacing="0"/>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单位地址：盐城市盐都区世纪大道1188号服务大厦808室</w:t>
      </w:r>
    </w:p>
    <w:p w14:paraId="6CF604A8">
      <w:pPr>
        <w:pStyle w:val="13"/>
        <w:pageBreakBefore w:val="0"/>
        <w:widowControl/>
        <w:shd w:val="clear" w:color="auto" w:fill="FFFFFF"/>
        <w:kinsoku/>
        <w:wordWrap/>
        <w:overflowPunct/>
        <w:topLinePunct w:val="0"/>
        <w:autoSpaceDE/>
        <w:autoSpaceDN/>
        <w:bidi w:val="0"/>
        <w:adjustRightInd/>
        <w:snapToGrid/>
        <w:spacing w:beforeAutospacing="0" w:afterAutospacing="0"/>
        <w:ind w:left="-525" w:leftChars="-250" w:right="-525" w:rightChars="-250" w:firstLine="560"/>
        <w:jc w:val="both"/>
        <w:textAlignment w:val="auto"/>
        <w:rPr>
          <w:rFonts w:hint="default" w:ascii="仿宋" w:hAnsi="仿宋" w:eastAsia="仿宋" w:cs="仿宋"/>
          <w:color w:val="auto"/>
          <w:sz w:val="28"/>
          <w:szCs w:val="28"/>
          <w:highlight w:val="none"/>
          <w:shd w:val="clear" w:color="auto" w:fill="FFFFFF"/>
          <w:lang w:val="en-US" w:eastAsia="zh-CN"/>
        </w:rPr>
      </w:pPr>
      <w:r>
        <w:rPr>
          <w:rFonts w:hint="eastAsia" w:ascii="仿宋" w:hAnsi="仿宋" w:eastAsia="仿宋" w:cs="仿宋"/>
          <w:color w:val="auto"/>
          <w:sz w:val="28"/>
          <w:szCs w:val="28"/>
          <w:highlight w:val="none"/>
          <w:shd w:val="clear" w:color="auto" w:fill="FFFFFF"/>
        </w:rPr>
        <w:t>联系人：</w:t>
      </w:r>
      <w:r>
        <w:rPr>
          <w:rFonts w:hint="eastAsia" w:ascii="仿宋" w:hAnsi="仿宋" w:eastAsia="仿宋" w:cs="仿宋"/>
          <w:color w:val="auto"/>
          <w:sz w:val="28"/>
          <w:szCs w:val="28"/>
          <w:highlight w:val="none"/>
          <w:shd w:val="clear" w:color="auto" w:fill="FFFFFF"/>
          <w:lang w:val="en-US" w:eastAsia="zh-CN"/>
        </w:rPr>
        <w:t>万工</w:t>
      </w:r>
    </w:p>
    <w:p w14:paraId="09F233DB">
      <w:pPr>
        <w:pStyle w:val="13"/>
        <w:pageBreakBefore w:val="0"/>
        <w:widowControl/>
        <w:shd w:val="clear" w:color="auto" w:fill="FFFFFF"/>
        <w:kinsoku/>
        <w:wordWrap/>
        <w:overflowPunct/>
        <w:topLinePunct w:val="0"/>
        <w:autoSpaceDE/>
        <w:autoSpaceDN/>
        <w:bidi w:val="0"/>
        <w:adjustRightInd/>
        <w:snapToGrid/>
        <w:spacing w:beforeAutospacing="0" w:afterAutospacing="0"/>
        <w:ind w:left="-525" w:leftChars="-250" w:right="-525" w:rightChars="-250" w:firstLine="560"/>
        <w:jc w:val="both"/>
        <w:textAlignment w:val="auto"/>
        <w:rPr>
          <w:rFonts w:hint="default" w:ascii="仿宋" w:hAnsi="仿宋" w:eastAsia="仿宋" w:cs="仿宋"/>
          <w:color w:val="auto"/>
          <w:sz w:val="28"/>
          <w:szCs w:val="28"/>
          <w:highlight w:val="none"/>
          <w:shd w:val="clear" w:color="auto" w:fill="FFFFFF"/>
          <w:lang w:val="en-US" w:eastAsia="zh-CN"/>
        </w:rPr>
      </w:pPr>
      <w:r>
        <w:rPr>
          <w:rFonts w:hint="eastAsia" w:ascii="仿宋" w:hAnsi="仿宋" w:eastAsia="仿宋" w:cs="仿宋"/>
          <w:color w:val="auto"/>
          <w:sz w:val="28"/>
          <w:szCs w:val="28"/>
          <w:highlight w:val="none"/>
          <w:shd w:val="clear" w:color="auto" w:fill="FFFFFF"/>
        </w:rPr>
        <w:t>联系电话：</w:t>
      </w:r>
      <w:r>
        <w:rPr>
          <w:rFonts w:hint="eastAsia" w:ascii="仿宋" w:hAnsi="仿宋" w:eastAsia="仿宋" w:cs="仿宋"/>
          <w:color w:val="auto"/>
          <w:sz w:val="28"/>
          <w:szCs w:val="28"/>
          <w:highlight w:val="none"/>
          <w:shd w:val="clear" w:color="auto" w:fill="FFFFFF"/>
          <w:lang w:val="en-US" w:eastAsia="zh-CN"/>
        </w:rPr>
        <w:t>17751564941</w:t>
      </w:r>
    </w:p>
    <w:p w14:paraId="659CC1E2">
      <w:pPr>
        <w:pStyle w:val="13"/>
        <w:pageBreakBefore w:val="0"/>
        <w:widowControl/>
        <w:shd w:val="clear" w:color="auto" w:fill="FFFFFF"/>
        <w:kinsoku/>
        <w:wordWrap/>
        <w:overflowPunct/>
        <w:topLinePunct w:val="0"/>
        <w:autoSpaceDE/>
        <w:autoSpaceDN/>
        <w:bidi w:val="0"/>
        <w:adjustRightInd/>
        <w:snapToGrid/>
        <w:spacing w:beforeAutospacing="0" w:afterAutospacing="0"/>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3.项目联系方式</w:t>
      </w:r>
    </w:p>
    <w:p w14:paraId="752A1AC6">
      <w:pPr>
        <w:pStyle w:val="13"/>
        <w:pageBreakBefore w:val="0"/>
        <w:widowControl/>
        <w:shd w:val="clear" w:color="auto" w:fill="FFFFFF"/>
        <w:kinsoku/>
        <w:wordWrap/>
        <w:overflowPunct/>
        <w:topLinePunct w:val="0"/>
        <w:autoSpaceDE/>
        <w:autoSpaceDN/>
        <w:bidi w:val="0"/>
        <w:adjustRightInd/>
        <w:snapToGrid/>
        <w:spacing w:beforeAutospacing="0" w:afterAutospacing="0"/>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项目联系人：万工</w:t>
      </w:r>
    </w:p>
    <w:p w14:paraId="5C52274C">
      <w:pPr>
        <w:pStyle w:val="13"/>
        <w:pageBreakBefore w:val="0"/>
        <w:widowControl/>
        <w:shd w:val="clear" w:color="auto" w:fill="FFFFFF"/>
        <w:kinsoku/>
        <w:wordWrap/>
        <w:overflowPunct/>
        <w:topLinePunct w:val="0"/>
        <w:autoSpaceDE/>
        <w:autoSpaceDN/>
        <w:bidi w:val="0"/>
        <w:adjustRightInd/>
        <w:snapToGrid/>
        <w:spacing w:beforeAutospacing="0" w:afterAutospacing="0"/>
        <w:ind w:left="-525" w:leftChars="-250" w:right="-525" w:rightChars="-250" w:firstLine="560"/>
        <w:jc w:val="both"/>
        <w:textAlignment w:val="auto"/>
        <w:rPr>
          <w:color w:val="auto"/>
          <w:highlight w:val="none"/>
        </w:rPr>
      </w:pPr>
      <w:r>
        <w:rPr>
          <w:rFonts w:hint="eastAsia" w:ascii="仿宋" w:hAnsi="仿宋" w:eastAsia="仿宋" w:cs="仿宋"/>
          <w:color w:val="auto"/>
          <w:sz w:val="28"/>
          <w:szCs w:val="28"/>
          <w:highlight w:val="none"/>
          <w:shd w:val="clear" w:color="auto" w:fill="FFFFFF"/>
        </w:rPr>
        <w:t>联系电话：17751564941</w:t>
      </w:r>
      <w:r>
        <w:rPr>
          <w:rFonts w:hint="eastAsia" w:ascii="仿宋" w:hAnsi="仿宋" w:eastAsia="仿宋" w:cs="仿宋"/>
          <w:color w:val="auto"/>
          <w:sz w:val="28"/>
          <w:szCs w:val="28"/>
          <w:highlight w:val="none"/>
          <w:shd w:val="clear" w:color="auto" w:fill="FFFFFF"/>
          <w:lang w:val="en-US" w:eastAsia="zh-CN"/>
        </w:rPr>
        <w:t xml:space="preserve"> </w:t>
      </w:r>
      <w:r>
        <w:rPr>
          <w:rFonts w:hint="eastAsia" w:ascii="仿宋" w:hAnsi="仿宋" w:eastAsia="仿宋" w:cs="仿宋"/>
          <w:color w:val="auto"/>
          <w:sz w:val="28"/>
          <w:szCs w:val="28"/>
          <w:highlight w:val="none"/>
          <w:shd w:val="clear" w:color="auto" w:fill="FFFFFF"/>
        </w:rPr>
        <w:t>　　　　　　　　　　</w:t>
      </w:r>
      <w:r>
        <w:rPr>
          <w:color w:val="auto"/>
          <w:highlight w:val="none"/>
        </w:rPr>
        <w:t> </w:t>
      </w:r>
      <w:r>
        <w:rPr>
          <w:rFonts w:hint="eastAsia" w:ascii="宋体" w:hAnsi="宋体" w:eastAsia="宋体" w:cs="宋体"/>
          <w:color w:val="auto"/>
          <w:highlight w:val="none"/>
        </w:rPr>
        <w:t> </w:t>
      </w:r>
    </w:p>
    <w:p w14:paraId="7B2C3C2F">
      <w:pPr>
        <w:rPr>
          <w:rFonts w:ascii="黑体" w:hAnsi="宋体" w:eastAsia="黑体" w:cs="黑体"/>
          <w:b/>
          <w:color w:val="auto"/>
          <w:sz w:val="44"/>
          <w:szCs w:val="44"/>
          <w:highlight w:val="none"/>
        </w:rPr>
      </w:pPr>
      <w:bookmarkStart w:id="34" w:name="_Toc120614211"/>
      <w:r>
        <w:rPr>
          <w:rFonts w:hint="eastAsia" w:ascii="黑体" w:hAnsi="宋体" w:eastAsia="黑体" w:cs="黑体"/>
          <w:b/>
          <w:color w:val="auto"/>
          <w:sz w:val="44"/>
          <w:szCs w:val="44"/>
          <w:highlight w:val="none"/>
        </w:rPr>
        <w:br w:type="page"/>
      </w:r>
    </w:p>
    <w:p w14:paraId="7344024E">
      <w:pPr>
        <w:pStyle w:val="13"/>
        <w:keepNext/>
        <w:keepLines/>
        <w:spacing w:before="260" w:beforeAutospacing="0" w:after="260" w:afterAutospacing="0" w:line="415" w:lineRule="auto"/>
        <w:ind w:firstLine="2429"/>
        <w:jc w:val="both"/>
        <w:rPr>
          <w:color w:val="auto"/>
          <w:highlight w:val="none"/>
        </w:rPr>
      </w:pPr>
      <w:r>
        <w:rPr>
          <w:rFonts w:hint="eastAsia" w:ascii="黑体" w:hAnsi="宋体" w:eastAsia="黑体" w:cs="黑体"/>
          <w:b/>
          <w:color w:val="auto"/>
          <w:sz w:val="44"/>
          <w:szCs w:val="44"/>
          <w:highlight w:val="none"/>
        </w:rPr>
        <w:t xml:space="preserve">第二章  </w:t>
      </w:r>
      <w:bookmarkEnd w:id="34"/>
      <w:bookmarkStart w:id="35" w:name="_Toc513029202"/>
      <w:bookmarkStart w:id="36" w:name="_Toc16938518"/>
      <w:bookmarkStart w:id="37" w:name="_Toc120614213"/>
      <w:bookmarkStart w:id="38" w:name="_Toc20823274"/>
      <w:r>
        <w:rPr>
          <w:rFonts w:hint="eastAsia" w:ascii="黑体" w:hAnsi="宋体" w:eastAsia="黑体" w:cs="黑体"/>
          <w:b/>
          <w:color w:val="auto"/>
          <w:sz w:val="44"/>
          <w:szCs w:val="44"/>
          <w:highlight w:val="none"/>
        </w:rPr>
        <w:t>投标人须知</w:t>
      </w:r>
      <w:bookmarkEnd w:id="35"/>
      <w:bookmarkEnd w:id="36"/>
      <w:bookmarkEnd w:id="37"/>
      <w:bookmarkEnd w:id="38"/>
    </w:p>
    <w:p w14:paraId="33BDE369">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2" w:firstLineChars="200"/>
        <w:jc w:val="both"/>
        <w:textAlignment w:val="auto"/>
        <w:rPr>
          <w:rFonts w:ascii="仿宋" w:hAnsi="仿宋" w:eastAsia="仿宋" w:cs="仿宋"/>
          <w:color w:val="auto"/>
          <w:sz w:val="28"/>
          <w:szCs w:val="28"/>
          <w:highlight w:val="none"/>
        </w:rPr>
      </w:pPr>
      <w:bookmarkStart w:id="39" w:name="_Toc513029203"/>
      <w:bookmarkStart w:id="40" w:name="_Toc20823275"/>
      <w:bookmarkStart w:id="41" w:name="_Toc16938519"/>
      <w:bookmarkStart w:id="42" w:name="_Toc120614214"/>
      <w:r>
        <w:rPr>
          <w:rFonts w:hint="eastAsia" w:ascii="仿宋" w:hAnsi="仿宋" w:eastAsia="仿宋" w:cs="仿宋"/>
          <w:b/>
          <w:color w:val="auto"/>
          <w:sz w:val="28"/>
          <w:szCs w:val="28"/>
          <w:highlight w:val="none"/>
        </w:rPr>
        <w:t>一、总则</w:t>
      </w:r>
      <w:bookmarkEnd w:id="39"/>
      <w:bookmarkEnd w:id="40"/>
      <w:bookmarkEnd w:id="41"/>
      <w:bookmarkEnd w:id="42"/>
    </w:p>
    <w:p w14:paraId="3C4D5C37">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43" w:name="_Toc16938520"/>
      <w:bookmarkStart w:id="44" w:name="_Toc458694821"/>
      <w:bookmarkStart w:id="45" w:name="_Toc513029204"/>
      <w:bookmarkStart w:id="46" w:name="_Toc20823276"/>
      <w:bookmarkStart w:id="47" w:name="_Hlt16619475"/>
      <w:r>
        <w:rPr>
          <w:rFonts w:hint="eastAsia" w:ascii="仿宋" w:hAnsi="仿宋" w:eastAsia="仿宋" w:cs="仿宋"/>
          <w:color w:val="auto"/>
          <w:sz w:val="28"/>
          <w:szCs w:val="28"/>
          <w:highlight w:val="none"/>
        </w:rPr>
        <w:t>1</w:t>
      </w:r>
      <w:bookmarkEnd w:id="43"/>
      <w:r>
        <w:rPr>
          <w:rFonts w:hint="eastAsia" w:ascii="仿宋" w:hAnsi="仿宋" w:eastAsia="仿宋" w:cs="仿宋"/>
          <w:color w:val="auto"/>
          <w:sz w:val="28"/>
          <w:szCs w:val="28"/>
          <w:highlight w:val="none"/>
        </w:rPr>
        <w:t>、招标方式</w:t>
      </w:r>
      <w:bookmarkEnd w:id="44"/>
      <w:bookmarkEnd w:id="45"/>
      <w:bookmarkEnd w:id="46"/>
    </w:p>
    <w:p w14:paraId="3F82A092">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1.1本次招标采取公开招标方式，本招标文件仅适用于招标公告中所述项目。</w:t>
      </w:r>
    </w:p>
    <w:p w14:paraId="55830F2D">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48" w:name="_Toc20823277"/>
      <w:bookmarkStart w:id="49" w:name="_Toc513029205"/>
      <w:bookmarkStart w:id="50" w:name="_Toc16938521"/>
      <w:r>
        <w:rPr>
          <w:rFonts w:hint="eastAsia" w:ascii="仿宋" w:hAnsi="仿宋" w:eastAsia="仿宋" w:cs="仿宋"/>
          <w:color w:val="auto"/>
          <w:sz w:val="28"/>
          <w:szCs w:val="28"/>
          <w:highlight w:val="none"/>
        </w:rPr>
        <w:t>2、合格的投标人</w:t>
      </w:r>
      <w:bookmarkEnd w:id="48"/>
      <w:bookmarkEnd w:id="49"/>
      <w:bookmarkEnd w:id="50"/>
    </w:p>
    <w:p w14:paraId="07966610">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2.1满足招标公告中供应商的资格要求的规定。</w:t>
      </w:r>
    </w:p>
    <w:p w14:paraId="281BA281">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2.2满足本文件实质性要求和条件的规定。</w:t>
      </w:r>
    </w:p>
    <w:p w14:paraId="363F291D">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51" w:name="_Toc20823278"/>
      <w:bookmarkStart w:id="52" w:name="_Toc16938522"/>
      <w:bookmarkStart w:id="53" w:name="_Toc513029206"/>
      <w:r>
        <w:rPr>
          <w:rFonts w:hint="eastAsia" w:ascii="仿宋" w:hAnsi="仿宋" w:eastAsia="仿宋" w:cs="仿宋"/>
          <w:color w:val="auto"/>
          <w:sz w:val="28"/>
          <w:szCs w:val="28"/>
          <w:highlight w:val="none"/>
        </w:rPr>
        <w:t>3、适用法律</w:t>
      </w:r>
      <w:bookmarkEnd w:id="51"/>
      <w:bookmarkEnd w:id="52"/>
      <w:bookmarkEnd w:id="53"/>
    </w:p>
    <w:p w14:paraId="446443C2">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3.1本次招标及由此产生的合同受中华人民共和国有关的法律法规制约和保护。</w:t>
      </w:r>
    </w:p>
    <w:p w14:paraId="54260756">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54" w:name="_Toc16938523"/>
      <w:bookmarkStart w:id="55" w:name="_Toc462564067"/>
      <w:bookmarkStart w:id="56" w:name="_Toc513029207"/>
      <w:bookmarkStart w:id="57" w:name="_Toc20823279"/>
      <w:r>
        <w:rPr>
          <w:rFonts w:hint="eastAsia" w:ascii="仿宋" w:hAnsi="仿宋" w:eastAsia="仿宋" w:cs="仿宋"/>
          <w:color w:val="auto"/>
          <w:sz w:val="28"/>
          <w:szCs w:val="28"/>
          <w:highlight w:val="none"/>
        </w:rPr>
        <w:t>4、投标费用</w:t>
      </w:r>
      <w:bookmarkEnd w:id="54"/>
      <w:bookmarkEnd w:id="55"/>
      <w:bookmarkEnd w:id="56"/>
      <w:bookmarkEnd w:id="57"/>
    </w:p>
    <w:p w14:paraId="357A6E5F">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4.1投标人应自行承担所有与参加投标有关的费用，无论投标过程中的做法和结果如何，盐城市盐都区公共资源交易中心（以下简称交易中心）在任何情况下均无义务和责任承担这些费用。</w:t>
      </w:r>
    </w:p>
    <w:p w14:paraId="7B637573">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4.2本次招标交易中心和采购人不收取标书工本费与中标服务费。</w:t>
      </w:r>
    </w:p>
    <w:p w14:paraId="7A81214C">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2" w:firstLineChars="200"/>
        <w:jc w:val="both"/>
        <w:textAlignment w:val="auto"/>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5、</w:t>
      </w:r>
      <w:r>
        <w:rPr>
          <w:rFonts w:hint="eastAsia" w:ascii="仿宋" w:hAnsi="仿宋" w:eastAsia="仿宋" w:cs="仿宋"/>
          <w:color w:val="auto"/>
          <w:sz w:val="28"/>
          <w:szCs w:val="28"/>
          <w:highlight w:val="none"/>
        </w:rPr>
        <w:t>招标文件的约束力</w:t>
      </w:r>
    </w:p>
    <w:p w14:paraId="316F2B5A">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5.1投标人一旦参加本项目采购活动，即被认为接受了本招标文件的规定和约束。</w:t>
      </w:r>
    </w:p>
    <w:p w14:paraId="7B7A7C5D">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2" w:firstLineChars="200"/>
        <w:jc w:val="both"/>
        <w:textAlignment w:val="auto"/>
        <w:rPr>
          <w:rFonts w:ascii="仿宋" w:hAnsi="仿宋" w:eastAsia="仿宋" w:cs="仿宋"/>
          <w:color w:val="auto"/>
          <w:sz w:val="28"/>
          <w:szCs w:val="28"/>
          <w:highlight w:val="none"/>
        </w:rPr>
      </w:pPr>
      <w:bookmarkStart w:id="58" w:name="_Toc16938525"/>
      <w:bookmarkStart w:id="59" w:name="_Toc513029209"/>
      <w:bookmarkStart w:id="60" w:name="_Toc20823281"/>
      <w:bookmarkStart w:id="61" w:name="_Toc120614215"/>
      <w:r>
        <w:rPr>
          <w:rFonts w:hint="eastAsia" w:ascii="仿宋" w:hAnsi="仿宋" w:eastAsia="仿宋" w:cs="仿宋"/>
          <w:b/>
          <w:color w:val="auto"/>
          <w:sz w:val="28"/>
          <w:szCs w:val="28"/>
          <w:highlight w:val="none"/>
        </w:rPr>
        <w:t>二、招标文件</w:t>
      </w:r>
      <w:bookmarkEnd w:id="58"/>
      <w:bookmarkEnd w:id="59"/>
      <w:bookmarkEnd w:id="60"/>
      <w:bookmarkEnd w:id="61"/>
    </w:p>
    <w:p w14:paraId="04AFF02B">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62" w:name="_Toc20823282"/>
      <w:bookmarkStart w:id="63" w:name="_Toc16938526"/>
      <w:bookmarkStart w:id="64" w:name="_Toc513029210"/>
      <w:r>
        <w:rPr>
          <w:rFonts w:hint="eastAsia" w:ascii="仿宋" w:hAnsi="仿宋" w:eastAsia="仿宋" w:cs="仿宋"/>
          <w:color w:val="auto"/>
          <w:sz w:val="28"/>
          <w:szCs w:val="28"/>
          <w:highlight w:val="none"/>
        </w:rPr>
        <w:t>6、招标文件构成</w:t>
      </w:r>
      <w:bookmarkEnd w:id="62"/>
      <w:bookmarkEnd w:id="63"/>
      <w:bookmarkEnd w:id="64"/>
    </w:p>
    <w:p w14:paraId="1C88388A">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6.1 招标文件由以下部分组成：</w:t>
      </w:r>
    </w:p>
    <w:p w14:paraId="0518EC9E">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（1）招标公告</w:t>
      </w:r>
    </w:p>
    <w:p w14:paraId="21D9AB23">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（2）投标人须知</w:t>
      </w:r>
    </w:p>
    <w:p w14:paraId="3A737100">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（3）合同文本</w:t>
      </w:r>
    </w:p>
    <w:p w14:paraId="44CFD630">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（4）采购需求</w:t>
      </w:r>
    </w:p>
    <w:p w14:paraId="0A28BEB5">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（5）评标方法与评标标准</w:t>
      </w:r>
    </w:p>
    <w:p w14:paraId="5D212B63">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（6）投标文件格式</w:t>
      </w:r>
    </w:p>
    <w:p w14:paraId="0B02F5E3">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请仔细检查招标文件是否齐全，如有缺漏请立即与采购人联系解决。</w:t>
      </w:r>
    </w:p>
    <w:p w14:paraId="0CC06D21">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DABF19F">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65" w:name="_Toc16938527"/>
      <w:bookmarkStart w:id="66" w:name="_Toc20823283"/>
      <w:bookmarkStart w:id="67" w:name="_Toc462564070"/>
      <w:bookmarkStart w:id="68" w:name="_Toc513029211"/>
      <w:r>
        <w:rPr>
          <w:rFonts w:hint="eastAsia" w:ascii="仿宋" w:hAnsi="仿宋" w:eastAsia="仿宋" w:cs="仿宋"/>
          <w:color w:val="auto"/>
          <w:sz w:val="28"/>
          <w:szCs w:val="28"/>
          <w:highlight w:val="none"/>
        </w:rPr>
        <w:t>7、招标文件的澄清</w:t>
      </w:r>
      <w:bookmarkEnd w:id="65"/>
      <w:bookmarkEnd w:id="66"/>
      <w:bookmarkEnd w:id="67"/>
      <w:bookmarkEnd w:id="68"/>
    </w:p>
    <w:p w14:paraId="081D060E">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7.1任何要求对招标文件进行澄清的投标人，应在投标截止期十日前按招标公告中的通讯地址，以书面形式通知采购人。</w:t>
      </w:r>
    </w:p>
    <w:p w14:paraId="3081BAF2">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69" w:name="_Toc462564071"/>
      <w:bookmarkStart w:id="70" w:name="_Toc20823284"/>
      <w:bookmarkStart w:id="71" w:name="_Toc513029212"/>
      <w:bookmarkStart w:id="72" w:name="_Toc16938528"/>
      <w:r>
        <w:rPr>
          <w:rFonts w:hint="eastAsia" w:ascii="仿宋" w:hAnsi="仿宋" w:eastAsia="仿宋" w:cs="仿宋"/>
          <w:color w:val="auto"/>
          <w:sz w:val="28"/>
          <w:szCs w:val="28"/>
          <w:highlight w:val="none"/>
        </w:rPr>
        <w:t>8、招标文件的修改</w:t>
      </w:r>
      <w:bookmarkEnd w:id="69"/>
      <w:bookmarkEnd w:id="70"/>
      <w:bookmarkEnd w:id="71"/>
      <w:bookmarkEnd w:id="72"/>
    </w:p>
    <w:p w14:paraId="716506D7">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8.1在投标截止时间前，采购人可以对招标文件进行修改。</w:t>
      </w:r>
    </w:p>
    <w:p w14:paraId="4EEC039D">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8.2交易中心和采购人有权按照法定的要求推迟投标截止日期和开标日期。</w:t>
      </w:r>
    </w:p>
    <w:p w14:paraId="1C15B86F">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8.3招标文件的修改将在“中国政府采购网”、“</w:t>
      </w:r>
      <w:r>
        <w:rPr>
          <w:rFonts w:hint="eastAsia" w:ascii="仿宋" w:hAnsi="仿宋" w:eastAsia="仿宋" w:cs="仿宋"/>
          <w:color w:val="auto"/>
          <w:sz w:val="28"/>
          <w:szCs w:val="28"/>
          <w:highlight w:val="none"/>
          <w:lang w:eastAsia="zh-CN"/>
        </w:rPr>
        <w:t>江苏政府采购网</w:t>
      </w:r>
      <w:r>
        <w:rPr>
          <w:rFonts w:hint="eastAsia" w:ascii="仿宋" w:hAnsi="仿宋" w:eastAsia="仿宋" w:cs="仿宋"/>
          <w:color w:val="auto"/>
          <w:sz w:val="28"/>
          <w:szCs w:val="28"/>
          <w:highlight w:val="none"/>
        </w:rPr>
        <w:t>”、“盐城市政府采购网”、“盐城市盐都区人民政府网”公布，补充文件将作为招标文件的组成部分，并对投标人具有约束力。</w:t>
      </w:r>
    </w:p>
    <w:p w14:paraId="020C4D57">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2" w:firstLineChars="200"/>
        <w:jc w:val="both"/>
        <w:textAlignment w:val="auto"/>
        <w:rPr>
          <w:rFonts w:ascii="仿宋" w:hAnsi="仿宋" w:eastAsia="仿宋" w:cs="仿宋"/>
          <w:color w:val="auto"/>
          <w:sz w:val="28"/>
          <w:szCs w:val="28"/>
          <w:highlight w:val="none"/>
        </w:rPr>
      </w:pPr>
      <w:bookmarkStart w:id="73" w:name="_Toc20823285"/>
      <w:bookmarkStart w:id="74" w:name="_Toc120614216"/>
      <w:bookmarkStart w:id="75" w:name="_Toc16938529"/>
      <w:bookmarkStart w:id="76" w:name="_Toc462564072"/>
      <w:bookmarkStart w:id="77" w:name="_Toc513029213"/>
      <w:r>
        <w:rPr>
          <w:rFonts w:hint="eastAsia" w:ascii="仿宋" w:hAnsi="仿宋" w:eastAsia="仿宋" w:cs="仿宋"/>
          <w:b/>
          <w:color w:val="auto"/>
          <w:sz w:val="28"/>
          <w:szCs w:val="28"/>
          <w:highlight w:val="none"/>
        </w:rPr>
        <w:t>三、投标文件的编制</w:t>
      </w:r>
      <w:bookmarkEnd w:id="73"/>
      <w:bookmarkEnd w:id="74"/>
      <w:bookmarkEnd w:id="75"/>
      <w:bookmarkEnd w:id="76"/>
      <w:bookmarkEnd w:id="77"/>
    </w:p>
    <w:p w14:paraId="69819E50">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78" w:name="_Toc513029214"/>
      <w:bookmarkStart w:id="79" w:name="_Toc462564073"/>
      <w:bookmarkStart w:id="80" w:name="_Toc20823286"/>
      <w:bookmarkStart w:id="81" w:name="_Toc16938530"/>
      <w:r>
        <w:rPr>
          <w:rFonts w:hint="eastAsia" w:ascii="仿宋" w:hAnsi="仿宋" w:eastAsia="仿宋" w:cs="仿宋"/>
          <w:color w:val="auto"/>
          <w:sz w:val="28"/>
          <w:szCs w:val="28"/>
          <w:highlight w:val="none"/>
        </w:rPr>
        <w:t>9、投标文件的语言及度量衡单位</w:t>
      </w:r>
      <w:bookmarkEnd w:id="78"/>
      <w:bookmarkEnd w:id="79"/>
      <w:bookmarkEnd w:id="80"/>
      <w:bookmarkEnd w:id="81"/>
    </w:p>
    <w:p w14:paraId="679E6CC3">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9.1投标人提交的投标文件以及投标人与采购人就有关投标的所有来往通知、函件和文件均应使用</w:t>
      </w:r>
      <w:r>
        <w:rPr>
          <w:rFonts w:hint="eastAsia" w:ascii="仿宋" w:hAnsi="仿宋" w:eastAsia="仿宋" w:cs="仿宋"/>
          <w:b/>
          <w:color w:val="auto"/>
          <w:sz w:val="28"/>
          <w:szCs w:val="28"/>
          <w:highlight w:val="none"/>
        </w:rPr>
        <w:t>简体中文</w:t>
      </w:r>
      <w:r>
        <w:rPr>
          <w:rFonts w:hint="eastAsia" w:ascii="仿宋" w:hAnsi="仿宋" w:eastAsia="仿宋" w:cs="仿宋"/>
          <w:color w:val="auto"/>
          <w:sz w:val="28"/>
          <w:szCs w:val="28"/>
          <w:highlight w:val="none"/>
        </w:rPr>
        <w:t>。</w:t>
      </w:r>
    </w:p>
    <w:p w14:paraId="50575ECF">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9.2除技术性能另有规定外，投标文件所使用的度量衡单位，均须采用国家法定计量单位。</w:t>
      </w:r>
    </w:p>
    <w:p w14:paraId="288B8252">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82" w:name="_Toc513029215"/>
      <w:bookmarkStart w:id="83" w:name="_Toc20823287"/>
      <w:bookmarkStart w:id="84" w:name="_Toc462564074"/>
      <w:bookmarkStart w:id="85" w:name="_Toc16938531"/>
      <w:r>
        <w:rPr>
          <w:rFonts w:hint="eastAsia" w:ascii="仿宋" w:hAnsi="仿宋" w:eastAsia="仿宋" w:cs="仿宋"/>
          <w:color w:val="auto"/>
          <w:sz w:val="28"/>
          <w:szCs w:val="28"/>
          <w:highlight w:val="none"/>
        </w:rPr>
        <w:t>10、投标文件构成</w:t>
      </w:r>
      <w:bookmarkEnd w:id="82"/>
      <w:bookmarkEnd w:id="83"/>
      <w:bookmarkEnd w:id="84"/>
      <w:bookmarkEnd w:id="85"/>
    </w:p>
    <w:p w14:paraId="0E59CE41">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10.1投标人编写的投标文件应包括资格证明文件、符合性证明文件、投标分项报价表、技术要求响应及偏离表、商务要求响应及偏离表、其他证明文件、投标函、开标一览表等部分。</w:t>
      </w:r>
    </w:p>
    <w:p w14:paraId="24A77A08">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10.2如标书制作工具中格式和内容与“中国政府采购网”、“</w:t>
      </w:r>
      <w:r>
        <w:rPr>
          <w:rFonts w:hint="eastAsia" w:ascii="仿宋" w:hAnsi="仿宋" w:eastAsia="仿宋" w:cs="仿宋"/>
          <w:color w:val="auto"/>
          <w:sz w:val="28"/>
          <w:szCs w:val="28"/>
          <w:highlight w:val="none"/>
          <w:lang w:eastAsia="zh-CN"/>
        </w:rPr>
        <w:t>江苏政府采购网</w:t>
      </w:r>
      <w:r>
        <w:rPr>
          <w:rFonts w:hint="eastAsia" w:ascii="仿宋" w:hAnsi="仿宋" w:eastAsia="仿宋" w:cs="仿宋"/>
          <w:color w:val="auto"/>
          <w:sz w:val="28"/>
          <w:szCs w:val="28"/>
          <w:highlight w:val="none"/>
        </w:rPr>
        <w:t>”、“盐城市政府采购网”、“盐城市盐都区人民政府网”发布的招标文件不一致，请以“中国政府采购网”、“</w:t>
      </w:r>
      <w:r>
        <w:rPr>
          <w:rFonts w:hint="eastAsia" w:ascii="仿宋" w:hAnsi="仿宋" w:eastAsia="仿宋" w:cs="仿宋"/>
          <w:color w:val="auto"/>
          <w:sz w:val="28"/>
          <w:szCs w:val="28"/>
          <w:highlight w:val="none"/>
          <w:lang w:eastAsia="zh-CN"/>
        </w:rPr>
        <w:t>江苏政府采购网</w:t>
      </w:r>
      <w:r>
        <w:rPr>
          <w:rFonts w:hint="eastAsia" w:ascii="仿宋" w:hAnsi="仿宋" w:eastAsia="仿宋" w:cs="仿宋"/>
          <w:color w:val="auto"/>
          <w:sz w:val="28"/>
          <w:szCs w:val="28"/>
          <w:highlight w:val="none"/>
        </w:rPr>
        <w:t>”、“盐城市政府采购网”发布的招标文件为准。</w:t>
      </w:r>
    </w:p>
    <w:p w14:paraId="07EE72A7">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bookmarkStart w:id="86" w:name="_Toc14577354"/>
      <w:bookmarkStart w:id="87" w:name="_Toc49090509"/>
      <w:bookmarkStart w:id="88" w:name="_Toc14577357"/>
      <w:bookmarkStart w:id="89" w:name="_Toc49090507"/>
      <w:bookmarkStart w:id="90" w:name="_Toc513029219"/>
      <w:bookmarkStart w:id="91" w:name="_Toc513029216"/>
      <w:bookmarkStart w:id="92" w:name="_Hlt26670360"/>
      <w:bookmarkStart w:id="93" w:name="_Hlt26954838"/>
      <w:bookmarkStart w:id="94" w:name="_Hlt26668975"/>
      <w:r>
        <w:rPr>
          <w:rFonts w:hint="eastAsia" w:ascii="仿宋" w:hAnsi="仿宋" w:eastAsia="仿宋" w:cs="仿宋"/>
          <w:color w:val="auto"/>
          <w:sz w:val="28"/>
          <w:szCs w:val="28"/>
          <w:highlight w:val="none"/>
        </w:rPr>
        <w:t>11、证明投标人及投标标的符合招标文件规定的文件</w:t>
      </w:r>
      <w:bookmarkEnd w:id="86"/>
      <w:bookmarkEnd w:id="87"/>
      <w:bookmarkEnd w:id="88"/>
      <w:bookmarkEnd w:id="89"/>
      <w:bookmarkEnd w:id="90"/>
      <w:bookmarkEnd w:id="91"/>
      <w:bookmarkStart w:id="95" w:name="_Toc49090508"/>
      <w:bookmarkStart w:id="96" w:name="_Toc14577355"/>
    </w:p>
    <w:p w14:paraId="03E87E6D">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11.1投标人应按照法律、法规、规章和规范性文件以及招标文件要求提交证明文件，证明其及投标标的符合招标文件规定。</w:t>
      </w:r>
      <w:bookmarkEnd w:id="95"/>
      <w:bookmarkEnd w:id="96"/>
    </w:p>
    <w:p w14:paraId="75601E3F">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11.2招标文件对证明文件无明确形式要求的，证明文件可以以文字资料、图纸和数据等形式提交。</w:t>
      </w:r>
    </w:p>
    <w:p w14:paraId="778B4E63">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12、投标分项报价</w:t>
      </w:r>
      <w:bookmarkStart w:id="97" w:name="_Hlt26670373"/>
      <w:r>
        <w:rPr>
          <w:rFonts w:hint="eastAsia" w:ascii="仿宋" w:hAnsi="仿宋" w:eastAsia="仿宋" w:cs="仿宋"/>
          <w:color w:val="auto"/>
          <w:sz w:val="28"/>
          <w:szCs w:val="28"/>
          <w:highlight w:val="none"/>
        </w:rPr>
        <w:t>表</w:t>
      </w:r>
    </w:p>
    <w:p w14:paraId="124BDC86">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12.1投</w:t>
      </w:r>
      <w:bookmarkStart w:id="98" w:name="_Hlt26954840"/>
      <w:r>
        <w:rPr>
          <w:rFonts w:hint="eastAsia" w:ascii="仿宋" w:hAnsi="仿宋" w:eastAsia="仿宋" w:cs="仿宋"/>
          <w:color w:val="auto"/>
          <w:sz w:val="28"/>
          <w:szCs w:val="28"/>
          <w:highlight w:val="none"/>
        </w:rPr>
        <w:t>标人应按照招标文件规定格式填报投标分项报价表</w:t>
      </w:r>
      <w:bookmarkStart w:id="99" w:name="_Hlt26670399"/>
      <w:r>
        <w:rPr>
          <w:rFonts w:hint="eastAsia" w:ascii="仿宋" w:hAnsi="仿宋" w:eastAsia="仿宋" w:cs="仿宋"/>
          <w:color w:val="auto"/>
          <w:sz w:val="28"/>
          <w:szCs w:val="28"/>
          <w:highlight w:val="none"/>
        </w:rPr>
        <w:t>。</w:t>
      </w:r>
    </w:p>
    <w:p w14:paraId="3B1AE23C">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12.2投标货币。投标文件中的单价和总价无特殊规定的采用人民币报价，以元为单位标注。招标文件中另有规定的按规定执行。</w:t>
      </w:r>
    </w:p>
    <w:p w14:paraId="6ACE9595">
      <w:pPr>
        <w:pageBreakBefore w:val="0"/>
        <w:widowControl w:val="0"/>
        <w:kinsoku/>
        <w:wordWrap/>
        <w:overflowPunct/>
        <w:topLinePunct w:val="0"/>
        <w:autoSpaceDE/>
        <w:autoSpaceDN/>
        <w:bidi w:val="0"/>
        <w:adjustRightInd/>
        <w:snapToGrid/>
        <w:ind w:left="-525" w:leftChars="-250" w:right="-525" w:rightChars="-250" w:firstLine="560" w:firstLineChars="200"/>
        <w:jc w:val="left"/>
        <w:textAlignment w:val="auto"/>
        <w:rPr>
          <w:rFonts w:ascii="仿宋" w:hAnsi="仿宋" w:eastAsia="仿宋" w:cs="仿宋"/>
          <w:color w:val="auto"/>
          <w:kern w:val="0"/>
          <w:sz w:val="28"/>
          <w:szCs w:val="28"/>
          <w:highlight w:val="none"/>
        </w:rPr>
      </w:pPr>
      <w:bookmarkStart w:id="100" w:name="_Hlt26670482"/>
      <w:bookmarkStart w:id="101" w:name="_Hlt26670403"/>
      <w:bookmarkStart w:id="102" w:name="_Hlt26670425"/>
      <w:bookmarkStart w:id="103" w:name="_Hlt26954842"/>
      <w:bookmarkStart w:id="104" w:name="_Hlt26954848"/>
      <w:bookmarkStart w:id="105" w:name="_Hlt26954731"/>
      <w:bookmarkStart w:id="106" w:name="_Hlt26670486"/>
      <w:bookmarkStart w:id="107" w:name="_Hlt26668983"/>
      <w:bookmarkStart w:id="108" w:name="_Hlt26954844"/>
      <w:bookmarkStart w:id="109" w:name="_Hlt26954846"/>
      <w:r>
        <w:rPr>
          <w:rFonts w:hint="eastAsia" w:ascii="仿宋" w:hAnsi="仿宋" w:eastAsia="仿宋" w:cs="仿宋"/>
          <w:color w:val="auto"/>
          <w:kern w:val="0"/>
          <w:sz w:val="28"/>
          <w:szCs w:val="28"/>
          <w:highlight w:val="none"/>
        </w:rPr>
        <w:t>12.3投标配置和分项明细报价，不仅应包括所有人员的工资、社保</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法定节假日加班费</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公积金</w:t>
      </w:r>
      <w:r>
        <w:rPr>
          <w:rFonts w:hint="eastAsia" w:ascii="仿宋" w:hAnsi="仿宋" w:eastAsia="仿宋" w:cs="仿宋"/>
          <w:color w:val="auto"/>
          <w:kern w:val="0"/>
          <w:sz w:val="28"/>
          <w:szCs w:val="28"/>
          <w:highlight w:val="none"/>
        </w:rPr>
        <w:t>，还应包括：管理、</w:t>
      </w:r>
      <w:r>
        <w:rPr>
          <w:rFonts w:hint="eastAsia" w:ascii="仿宋" w:hAnsi="仿宋" w:eastAsia="仿宋" w:cs="仿宋"/>
          <w:color w:val="auto"/>
          <w:kern w:val="0"/>
          <w:sz w:val="28"/>
          <w:szCs w:val="28"/>
          <w:highlight w:val="none"/>
          <w:lang w:val="en-US" w:eastAsia="zh-CN"/>
        </w:rPr>
        <w:t>餐费、</w:t>
      </w:r>
      <w:r>
        <w:rPr>
          <w:rFonts w:hint="eastAsia" w:ascii="仿宋" w:hAnsi="仿宋" w:eastAsia="仿宋" w:cs="仿宋"/>
          <w:color w:val="auto"/>
          <w:kern w:val="0"/>
          <w:sz w:val="28"/>
          <w:szCs w:val="28"/>
          <w:highlight w:val="none"/>
        </w:rPr>
        <w:t>劳务、培训、风险、税金、合理利润及政策性文件规定等各项应有费用，以及为完成招标文件规定的</w:t>
      </w:r>
      <w:r>
        <w:rPr>
          <w:rFonts w:hint="eastAsia" w:ascii="仿宋" w:hAnsi="仿宋" w:eastAsia="仿宋" w:cs="仿宋"/>
          <w:color w:val="auto"/>
          <w:kern w:val="0"/>
          <w:sz w:val="28"/>
          <w:szCs w:val="28"/>
          <w:highlight w:val="none"/>
          <w:lang w:val="en-US" w:eastAsia="zh-CN"/>
        </w:rPr>
        <w:t>物业</w:t>
      </w:r>
      <w:r>
        <w:rPr>
          <w:rFonts w:hint="eastAsia" w:ascii="仿宋" w:hAnsi="仿宋" w:eastAsia="仿宋" w:cs="仿宋"/>
          <w:color w:val="auto"/>
          <w:kern w:val="0"/>
          <w:sz w:val="28"/>
          <w:szCs w:val="28"/>
          <w:highlight w:val="none"/>
        </w:rPr>
        <w:t>服务工作所涉及到的一切相关费用。</w:t>
      </w:r>
    </w:p>
    <w:p w14:paraId="40359CE9">
      <w:pPr>
        <w:pageBreakBefore w:val="0"/>
        <w:widowControl w:val="0"/>
        <w:kinsoku/>
        <w:wordWrap/>
        <w:overflowPunct/>
        <w:topLinePunct w:val="0"/>
        <w:autoSpaceDE/>
        <w:autoSpaceDN/>
        <w:bidi w:val="0"/>
        <w:adjustRightInd/>
        <w:snapToGrid/>
        <w:ind w:left="-525" w:leftChars="-250" w:right="-525" w:rightChars="-250" w:firstLine="560" w:firstLineChars="200"/>
        <w:textAlignment w:val="auto"/>
        <w:rPr>
          <w:rFonts w:hint="eastAsia" w:ascii="仿宋" w:hAnsi="仿宋" w:eastAsia="仿宋" w:cs="仿宋"/>
          <w:b/>
          <w:bCs/>
          <w:color w:val="auto"/>
          <w:sz w:val="28"/>
          <w:szCs w:val="28"/>
          <w:highlight w:val="none"/>
          <w:lang w:val="zh-CN" w:eastAsia="zh-CN"/>
        </w:rPr>
      </w:pPr>
      <w:r>
        <w:rPr>
          <w:rFonts w:hint="eastAsia" w:ascii="仿宋" w:hAnsi="仿宋" w:eastAsia="仿宋" w:cs="仿宋"/>
          <w:color w:val="auto"/>
          <w:kern w:val="0"/>
          <w:sz w:val="28"/>
          <w:szCs w:val="28"/>
          <w:highlight w:val="none"/>
        </w:rPr>
        <w:t>12.4</w:t>
      </w:r>
      <w:r>
        <w:rPr>
          <w:rFonts w:hint="eastAsia" w:ascii="仿宋" w:hAnsi="仿宋" w:eastAsia="仿宋" w:cs="仿宋"/>
          <w:b/>
          <w:bCs/>
          <w:color w:val="auto"/>
          <w:sz w:val="28"/>
          <w:szCs w:val="28"/>
          <w:highlight w:val="none"/>
          <w:lang w:val="zh-CN"/>
        </w:rPr>
        <w:t>人员工资及相关费用测算依据根据按苏人社规〔2023〕4号《江苏省人力资源社会保障厅关于调整全省最低工资标准的通知》：所有工作人员工资不低于本市最新公布的最低工资标准（2260元/人每月）、</w:t>
      </w:r>
      <w:r>
        <w:rPr>
          <w:rFonts w:hint="eastAsia" w:ascii="仿宋" w:hAnsi="仿宋" w:eastAsia="仿宋" w:cs="仿宋"/>
          <w:b/>
          <w:bCs/>
          <w:color w:val="auto"/>
          <w:sz w:val="28"/>
          <w:szCs w:val="28"/>
          <w:highlight w:val="none"/>
          <w:lang w:val="zh-CN" w:eastAsia="zh-CN"/>
        </w:rPr>
        <w:t>社保费用应执行江苏省省人力资源社会保障厅、省财政厅、省医疗保障局、省税务局关于发布2025年度社会保险有关基数的通知，五险（缴费基数为4952元，养老保险16%、医疗保险8%、工伤保险0.7%、生育保险0.9%、失业保险0.5%按129</w:t>
      </w:r>
      <w:r>
        <w:rPr>
          <w:rFonts w:hint="eastAsia" w:ascii="仿宋" w:hAnsi="仿宋" w:eastAsia="仿宋" w:cs="仿宋"/>
          <w:b/>
          <w:bCs/>
          <w:color w:val="auto"/>
          <w:sz w:val="28"/>
          <w:szCs w:val="28"/>
          <w:highlight w:val="none"/>
          <w:lang w:val="en-US" w:eastAsia="zh-CN"/>
        </w:rPr>
        <w:t>2</w:t>
      </w:r>
      <w:r>
        <w:rPr>
          <w:rFonts w:hint="eastAsia" w:ascii="仿宋" w:hAnsi="仿宋" w:eastAsia="仿宋" w:cs="仿宋"/>
          <w:b/>
          <w:bCs/>
          <w:color w:val="auto"/>
          <w:sz w:val="28"/>
          <w:szCs w:val="28"/>
          <w:highlight w:val="none"/>
          <w:lang w:val="zh-CN" w:eastAsia="zh-CN"/>
        </w:rPr>
        <w:t>.47元/人/月测算，住房公积金不得低于114元</w:t>
      </w:r>
      <w:r>
        <w:rPr>
          <w:rFonts w:hint="eastAsia" w:ascii="仿宋" w:hAnsi="仿宋" w:eastAsia="仿宋" w:cs="仿宋"/>
          <w:b/>
          <w:bCs/>
          <w:color w:val="auto"/>
          <w:sz w:val="28"/>
          <w:szCs w:val="28"/>
          <w:highlight w:val="none"/>
          <w:lang w:val="en-US" w:eastAsia="zh-CN"/>
        </w:rPr>
        <w:t>/</w:t>
      </w:r>
      <w:r>
        <w:rPr>
          <w:rFonts w:hint="eastAsia" w:ascii="仿宋" w:hAnsi="仿宋" w:eastAsia="仿宋" w:cs="仿宋"/>
          <w:b/>
          <w:bCs/>
          <w:color w:val="auto"/>
          <w:sz w:val="28"/>
          <w:szCs w:val="28"/>
          <w:highlight w:val="none"/>
          <w:lang w:val="zh-CN" w:eastAsia="zh-CN"/>
        </w:rPr>
        <w:t>人</w:t>
      </w:r>
      <w:r>
        <w:rPr>
          <w:rFonts w:hint="eastAsia" w:ascii="仿宋" w:hAnsi="仿宋" w:eastAsia="仿宋" w:cs="仿宋"/>
          <w:b/>
          <w:bCs/>
          <w:color w:val="auto"/>
          <w:sz w:val="28"/>
          <w:szCs w:val="28"/>
          <w:highlight w:val="none"/>
          <w:lang w:val="en-US" w:eastAsia="zh-CN"/>
        </w:rPr>
        <w:t>/</w:t>
      </w:r>
      <w:r>
        <w:rPr>
          <w:rFonts w:hint="eastAsia" w:ascii="仿宋" w:hAnsi="仿宋" w:eastAsia="仿宋" w:cs="仿宋"/>
          <w:b/>
          <w:bCs/>
          <w:color w:val="auto"/>
          <w:sz w:val="28"/>
          <w:szCs w:val="28"/>
          <w:highlight w:val="none"/>
          <w:lang w:val="zh-CN" w:eastAsia="zh-CN"/>
        </w:rPr>
        <w:t>月；法定节假日加班费4052.41元/人/年（</w:t>
      </w:r>
      <w:r>
        <w:rPr>
          <w:rFonts w:hint="eastAsia" w:ascii="仿宋" w:hAnsi="仿宋" w:eastAsia="仿宋" w:cs="仿宋"/>
          <w:b/>
          <w:bCs/>
          <w:color w:val="auto"/>
          <w:sz w:val="28"/>
          <w:szCs w:val="28"/>
          <w:highlight w:val="none"/>
          <w:lang w:val="en-US" w:eastAsia="zh-CN"/>
        </w:rPr>
        <w:t>加班人数按6人计算</w:t>
      </w:r>
      <w:r>
        <w:rPr>
          <w:rFonts w:hint="eastAsia" w:ascii="仿宋" w:hAnsi="仿宋" w:eastAsia="仿宋" w:cs="仿宋"/>
          <w:b/>
          <w:bCs/>
          <w:color w:val="auto"/>
          <w:sz w:val="28"/>
          <w:szCs w:val="28"/>
          <w:highlight w:val="none"/>
          <w:lang w:val="zh-CN" w:eastAsia="zh-CN"/>
        </w:rPr>
        <w:t>），各投标人税金费率统一按6.72%进行报价，低于此费用的投标报价符合性审查不通过。</w:t>
      </w:r>
    </w:p>
    <w:p w14:paraId="472DC5D8">
      <w:pPr>
        <w:pageBreakBefore w:val="0"/>
        <w:widowControl w:val="0"/>
        <w:kinsoku/>
        <w:wordWrap/>
        <w:overflowPunct/>
        <w:topLinePunct w:val="0"/>
        <w:autoSpaceDE/>
        <w:autoSpaceDN/>
        <w:bidi w:val="0"/>
        <w:adjustRightInd/>
        <w:snapToGrid/>
        <w:ind w:left="-525" w:leftChars="-250" w:right="-525" w:rightChars="-250" w:firstLine="562" w:firstLineChars="200"/>
        <w:textAlignment w:val="auto"/>
        <w:rPr>
          <w:rFonts w:hint="eastAsia" w:ascii="仿宋" w:hAnsi="仿宋" w:eastAsia="仿宋" w:cs="仿宋"/>
          <w:b/>
          <w:bCs/>
          <w:color w:val="auto"/>
          <w:sz w:val="28"/>
          <w:szCs w:val="28"/>
          <w:highlight w:val="none"/>
          <w:lang w:val="zh-CN" w:eastAsia="zh-CN"/>
        </w:rPr>
      </w:pPr>
      <w:r>
        <w:rPr>
          <w:rFonts w:hint="eastAsia" w:ascii="仿宋" w:hAnsi="仿宋" w:eastAsia="仿宋" w:cs="仿宋"/>
          <w:b/>
          <w:bCs/>
          <w:color w:val="auto"/>
          <w:sz w:val="28"/>
          <w:szCs w:val="28"/>
          <w:highlight w:val="none"/>
          <w:lang w:val="zh-CN" w:eastAsia="zh-CN"/>
        </w:rPr>
        <w:t>注：投标人需考虑每年最低工资增长产生的额外费用，由此产生的额外支出，甲方不作费用调整。</w:t>
      </w:r>
    </w:p>
    <w:p w14:paraId="3A5CF1F0">
      <w:pPr>
        <w:pageBreakBefore w:val="0"/>
        <w:widowControl w:val="0"/>
        <w:kinsoku/>
        <w:wordWrap/>
        <w:overflowPunct/>
        <w:topLinePunct w:val="0"/>
        <w:autoSpaceDE/>
        <w:autoSpaceDN/>
        <w:bidi w:val="0"/>
        <w:adjustRightInd/>
        <w:snapToGrid/>
        <w:ind w:left="-525" w:leftChars="-250" w:right="-525" w:rightChars="-250" w:firstLine="562" w:firstLineChars="200"/>
        <w:textAlignment w:val="auto"/>
        <w:rPr>
          <w:rFonts w:hint="eastAsia" w:ascii="仿宋" w:hAnsi="仿宋" w:eastAsia="仿宋" w:cs="仿宋"/>
          <w:b/>
          <w:bCs/>
          <w:color w:val="auto"/>
          <w:sz w:val="28"/>
          <w:szCs w:val="28"/>
          <w:highlight w:val="none"/>
          <w:lang w:val="zh-CN" w:eastAsia="zh-CN"/>
        </w:rPr>
      </w:pPr>
      <w:r>
        <w:rPr>
          <w:rFonts w:hint="eastAsia" w:ascii="仿宋" w:hAnsi="仿宋" w:eastAsia="仿宋" w:cs="仿宋"/>
          <w:b/>
          <w:bCs/>
          <w:color w:val="auto"/>
          <w:sz w:val="28"/>
          <w:szCs w:val="28"/>
          <w:highlight w:val="none"/>
          <w:lang w:val="zh-CN" w:eastAsia="zh-CN"/>
        </w:rPr>
        <w:t>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p>
    <w:p w14:paraId="329F26AB">
      <w:pPr>
        <w:pageBreakBefore w:val="0"/>
        <w:widowControl w:val="0"/>
        <w:kinsoku/>
        <w:wordWrap/>
        <w:overflowPunct/>
        <w:topLinePunct w:val="0"/>
        <w:autoSpaceDE/>
        <w:autoSpaceDN/>
        <w:bidi w:val="0"/>
        <w:adjustRightInd/>
        <w:snapToGrid/>
        <w:ind w:left="-525" w:leftChars="-250" w:right="-525" w:rightChars="-25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12.5 投标人根据招标内容的要求准确报价，一经报出，不得更改。</w:t>
      </w:r>
    </w:p>
    <w:p w14:paraId="3D27DC9E">
      <w:pPr>
        <w:pageBreakBefore w:val="0"/>
        <w:widowControl w:val="0"/>
        <w:kinsoku/>
        <w:wordWrap/>
        <w:overflowPunct/>
        <w:topLinePunct w:val="0"/>
        <w:autoSpaceDE/>
        <w:autoSpaceDN/>
        <w:bidi w:val="0"/>
        <w:adjustRightInd/>
        <w:snapToGrid/>
        <w:ind w:left="-525" w:leftChars="-250" w:right="-525" w:rightChars="-25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12.6投标报价的单位为人民币(元)。如果未能按合同、招标投标文件履约的，中止合同，履约保证金不予退还，并不支付服务期间的</w:t>
      </w:r>
      <w:r>
        <w:rPr>
          <w:rFonts w:hint="eastAsia" w:ascii="仿宋" w:hAnsi="仿宋" w:eastAsia="仿宋" w:cs="仿宋"/>
          <w:color w:val="auto"/>
          <w:sz w:val="28"/>
          <w:szCs w:val="28"/>
          <w:highlight w:val="none"/>
          <w:lang w:eastAsia="zh-CN"/>
        </w:rPr>
        <w:t>保洁</w:t>
      </w:r>
      <w:r>
        <w:rPr>
          <w:rFonts w:hint="eastAsia" w:ascii="仿宋" w:hAnsi="仿宋" w:eastAsia="仿宋" w:cs="仿宋"/>
          <w:color w:val="auto"/>
          <w:sz w:val="28"/>
          <w:szCs w:val="28"/>
          <w:highlight w:val="none"/>
        </w:rPr>
        <w:t>服务费用。招标方有权终止合同的履行，受托单位应承担相应的完全责任，包括赔偿因此而给本单位及第三人带来的相应损失。合同期满并完成与后续</w:t>
      </w:r>
      <w:r>
        <w:rPr>
          <w:rFonts w:hint="eastAsia" w:ascii="仿宋" w:hAnsi="仿宋" w:eastAsia="仿宋" w:cs="仿宋"/>
          <w:color w:val="auto"/>
          <w:sz w:val="28"/>
          <w:szCs w:val="28"/>
          <w:highlight w:val="none"/>
          <w:lang w:eastAsia="zh-CN"/>
        </w:rPr>
        <w:t>保洁</w:t>
      </w:r>
      <w:r>
        <w:rPr>
          <w:rFonts w:hint="eastAsia" w:ascii="仿宋" w:hAnsi="仿宋" w:eastAsia="仿宋" w:cs="仿宋"/>
          <w:color w:val="auto"/>
          <w:sz w:val="28"/>
          <w:szCs w:val="28"/>
          <w:highlight w:val="none"/>
        </w:rPr>
        <w:t>服务企业的衔接后，方可退出，经本单位验收合格，退出本</w:t>
      </w:r>
      <w:r>
        <w:rPr>
          <w:rFonts w:hint="eastAsia" w:ascii="仿宋" w:hAnsi="仿宋" w:eastAsia="仿宋" w:cs="仿宋"/>
          <w:color w:val="auto"/>
          <w:sz w:val="28"/>
          <w:szCs w:val="28"/>
          <w:highlight w:val="none"/>
          <w:lang w:eastAsia="zh-CN"/>
        </w:rPr>
        <w:t>保洁</w:t>
      </w:r>
      <w:r>
        <w:rPr>
          <w:rFonts w:hint="eastAsia" w:ascii="仿宋" w:hAnsi="仿宋" w:eastAsia="仿宋" w:cs="仿宋"/>
          <w:color w:val="auto"/>
          <w:sz w:val="28"/>
          <w:szCs w:val="28"/>
          <w:highlight w:val="none"/>
        </w:rPr>
        <w:t xml:space="preserve">管理时必须向本单位移交全套档案等资料，同时退还履约保证金余额。 </w:t>
      </w:r>
    </w:p>
    <w:p w14:paraId="102D595F">
      <w:pPr>
        <w:pageBreakBefore w:val="0"/>
        <w:widowControl w:val="0"/>
        <w:kinsoku/>
        <w:wordWrap/>
        <w:overflowPunct/>
        <w:topLinePunct w:val="0"/>
        <w:autoSpaceDE/>
        <w:autoSpaceDN/>
        <w:bidi w:val="0"/>
        <w:adjustRightInd/>
        <w:snapToGrid/>
        <w:ind w:left="-525" w:leftChars="-250" w:right="-525" w:rightChars="-25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12.7对于超出招标文件的其他临时性服务项目，由甲乙双方协商解决。</w:t>
      </w:r>
    </w:p>
    <w:p w14:paraId="5D7CD127">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13、技术要求响应及偏离表、商务要求响应及偏离表</w:t>
      </w:r>
    </w:p>
    <w:p w14:paraId="5E8C995B">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13.1投标人需对招标文件中的技术要求与商务要求逐项作出响应或偏离，并说明原因。</w:t>
      </w:r>
    </w:p>
    <w:p w14:paraId="07915A82">
      <w:pPr>
        <w:pStyle w:val="13"/>
        <w:pageBreakBefore w:val="0"/>
        <w:widowControl w:val="0"/>
        <w:tabs>
          <w:tab w:val="left" w:pos="1036"/>
        </w:tabs>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13.2投标人可在投标文件中提供认为需要的其他技术文件或说明。</w:t>
      </w:r>
    </w:p>
    <w:p w14:paraId="73CC70F0">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110" w:name="_Toc49090510"/>
      <w:bookmarkStart w:id="111" w:name="_Toc14577359"/>
      <w:r>
        <w:rPr>
          <w:rFonts w:hint="eastAsia" w:ascii="仿宋" w:hAnsi="仿宋" w:eastAsia="仿宋" w:cs="仿宋"/>
          <w:color w:val="auto"/>
          <w:sz w:val="28"/>
          <w:szCs w:val="28"/>
          <w:highlight w:val="none"/>
        </w:rPr>
        <w:t>14、投标函和开标一览表</w:t>
      </w:r>
      <w:bookmarkEnd w:id="110"/>
      <w:bookmarkEnd w:id="111"/>
    </w:p>
    <w:p w14:paraId="68D74A2A">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14.1投标人应按照招标文件中提供的格式完整、正确填写投标函、开标一览表。</w:t>
      </w:r>
    </w:p>
    <w:p w14:paraId="1F8279A8">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14.2对于采用货币报价的项目，开标一览表中的投标总报价应与投标分项报价表中的投标总报价一致，如不一致，不作为无效投标处理，但评标时按开标一览表中价格为准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s="仿宋"/>
          <w:b/>
          <w:color w:val="auto"/>
          <w:sz w:val="28"/>
          <w:szCs w:val="28"/>
          <w:highlight w:val="none"/>
        </w:rPr>
        <w:t>。</w:t>
      </w:r>
    </w:p>
    <w:p w14:paraId="30206AB2">
      <w:pPr>
        <w:pageBreakBefore w:val="0"/>
        <w:widowControl w:val="0"/>
        <w:kinsoku/>
        <w:wordWrap/>
        <w:overflowPunct/>
        <w:topLinePunct w:val="0"/>
        <w:autoSpaceDE/>
        <w:autoSpaceDN/>
        <w:bidi w:val="0"/>
        <w:adjustRightInd/>
        <w:snapToGrid/>
        <w:ind w:left="-525" w:leftChars="-250" w:right="-525" w:rightChars="-250" w:firstLine="560" w:firstLineChars="200"/>
        <w:textAlignment w:val="auto"/>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14.3投标文件的大写金额和小写金额不一致的，以大写金额为准；对不同文字文本投标的解释发生异议的，以中文文本为准。</w:t>
      </w:r>
    </w:p>
    <w:p w14:paraId="1943CDD2">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112" w:name="_Toc49090511"/>
      <w:bookmarkStart w:id="113" w:name="_Toc14577360"/>
      <w:bookmarkStart w:id="114" w:name="_Hlt26954734"/>
      <w:bookmarkStart w:id="115" w:name="_Hlt26670489"/>
      <w:bookmarkStart w:id="116" w:name="_Hlt26954850"/>
      <w:r>
        <w:rPr>
          <w:rFonts w:hint="eastAsia" w:ascii="仿宋" w:hAnsi="仿宋" w:eastAsia="仿宋" w:cs="仿宋"/>
          <w:color w:val="auto"/>
          <w:sz w:val="28"/>
          <w:szCs w:val="28"/>
          <w:highlight w:val="none"/>
        </w:rPr>
        <w:t>15、投标有效期</w:t>
      </w:r>
      <w:bookmarkEnd w:id="112"/>
      <w:bookmarkEnd w:id="113"/>
    </w:p>
    <w:p w14:paraId="010ABC60">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15.1投标有效期为采购人规定的开标之日后</w:t>
      </w:r>
      <w:r>
        <w:rPr>
          <w:rFonts w:hint="eastAsia" w:ascii="仿宋" w:hAnsi="仿宋" w:eastAsia="仿宋" w:cs="仿宋"/>
          <w:b/>
          <w:color w:val="auto"/>
          <w:sz w:val="28"/>
          <w:szCs w:val="28"/>
          <w:highlight w:val="none"/>
          <w:u w:val="single"/>
          <w:lang w:val="en-US" w:eastAsia="zh-CN"/>
        </w:rPr>
        <w:t>九</w:t>
      </w:r>
      <w:r>
        <w:rPr>
          <w:rFonts w:hint="eastAsia" w:ascii="仿宋" w:hAnsi="仿宋" w:eastAsia="仿宋" w:cs="仿宋"/>
          <w:b/>
          <w:color w:val="auto"/>
          <w:sz w:val="28"/>
          <w:szCs w:val="28"/>
          <w:highlight w:val="none"/>
          <w:u w:val="single"/>
        </w:rPr>
        <w:t>十（</w:t>
      </w:r>
      <w:r>
        <w:rPr>
          <w:rFonts w:hint="eastAsia" w:ascii="仿宋" w:hAnsi="仿宋" w:eastAsia="仿宋" w:cs="仿宋"/>
          <w:b/>
          <w:color w:val="auto"/>
          <w:sz w:val="28"/>
          <w:szCs w:val="28"/>
          <w:highlight w:val="none"/>
          <w:u w:val="single"/>
          <w:lang w:val="en-US" w:eastAsia="zh-CN"/>
        </w:rPr>
        <w:t>90</w:t>
      </w:r>
      <w:r>
        <w:rPr>
          <w:rFonts w:hint="eastAsia" w:ascii="仿宋" w:hAnsi="仿宋" w:eastAsia="仿宋" w:cs="仿宋"/>
          <w:b/>
          <w:color w:val="auto"/>
          <w:sz w:val="28"/>
          <w:szCs w:val="28"/>
          <w:highlight w:val="none"/>
          <w:u w:val="single"/>
        </w:rPr>
        <w:t>）天</w:t>
      </w:r>
      <w:r>
        <w:rPr>
          <w:rFonts w:hint="eastAsia" w:ascii="仿宋" w:hAnsi="仿宋" w:eastAsia="仿宋" w:cs="仿宋"/>
          <w:color w:val="auto"/>
          <w:sz w:val="28"/>
          <w:szCs w:val="28"/>
          <w:highlight w:val="none"/>
        </w:rPr>
        <w:t>。投标有效期比规定短的将被视为未实质性响应招标文件而予以拒绝。</w:t>
      </w:r>
    </w:p>
    <w:p w14:paraId="718CB72E">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16、投标有效期的延长</w:t>
      </w:r>
    </w:p>
    <w:p w14:paraId="61234781">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1C4BEF23">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2" w:firstLineChars="200"/>
        <w:jc w:val="both"/>
        <w:textAlignment w:val="auto"/>
        <w:rPr>
          <w:rFonts w:ascii="仿宋" w:hAnsi="仿宋" w:eastAsia="仿宋" w:cs="仿宋"/>
          <w:color w:val="auto"/>
          <w:sz w:val="28"/>
          <w:szCs w:val="28"/>
          <w:highlight w:val="none"/>
        </w:rPr>
      </w:pPr>
      <w:bookmarkStart w:id="117" w:name="_Toc16938540"/>
      <w:bookmarkStart w:id="118" w:name="_Toc20823296"/>
      <w:bookmarkStart w:id="119" w:name="_Toc120614217"/>
      <w:bookmarkStart w:id="120" w:name="_Toc513029224"/>
      <w:bookmarkStart w:id="121" w:name="_Hlt26954739"/>
      <w:bookmarkStart w:id="122" w:name="_Hlt26954852"/>
      <w:r>
        <w:rPr>
          <w:rFonts w:hint="eastAsia" w:ascii="仿宋" w:hAnsi="仿宋" w:eastAsia="仿宋" w:cs="仿宋"/>
          <w:b/>
          <w:color w:val="auto"/>
          <w:sz w:val="28"/>
          <w:szCs w:val="28"/>
          <w:highlight w:val="none"/>
        </w:rPr>
        <w:t>四、投标文件的递交</w:t>
      </w:r>
      <w:bookmarkEnd w:id="117"/>
      <w:bookmarkEnd w:id="118"/>
      <w:bookmarkEnd w:id="119"/>
      <w:bookmarkEnd w:id="120"/>
    </w:p>
    <w:p w14:paraId="67568B85">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123" w:name="_Toc513029225"/>
      <w:bookmarkStart w:id="124" w:name="_Toc462564084"/>
      <w:bookmarkStart w:id="125" w:name="_Toc20823297"/>
      <w:bookmarkStart w:id="126" w:name="_Toc16938541"/>
      <w:r>
        <w:rPr>
          <w:rFonts w:hint="eastAsia" w:ascii="仿宋" w:hAnsi="仿宋" w:eastAsia="仿宋" w:cs="仿宋"/>
          <w:color w:val="auto"/>
          <w:sz w:val="28"/>
          <w:szCs w:val="28"/>
          <w:highlight w:val="none"/>
        </w:rPr>
        <w:t>17、投标文件</w:t>
      </w:r>
      <w:bookmarkEnd w:id="123"/>
      <w:bookmarkEnd w:id="124"/>
      <w:bookmarkEnd w:id="125"/>
      <w:bookmarkEnd w:id="126"/>
      <w:r>
        <w:rPr>
          <w:rFonts w:hint="eastAsia" w:ascii="仿宋" w:hAnsi="仿宋" w:eastAsia="仿宋" w:cs="仿宋"/>
          <w:color w:val="auto"/>
          <w:sz w:val="28"/>
          <w:szCs w:val="28"/>
          <w:highlight w:val="none"/>
        </w:rPr>
        <w:t>的递交</w:t>
      </w:r>
    </w:p>
    <w:p w14:paraId="7915DE92">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17.1 电子投标文件的递交</w:t>
      </w:r>
    </w:p>
    <w:p w14:paraId="023902F9">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投标人应当按照《操作手册》规定，在投标截止时间前制作并上传电子投标文件。</w:t>
      </w:r>
      <w:bookmarkStart w:id="127" w:name="_Toc20823298"/>
      <w:bookmarkEnd w:id="127"/>
      <w:bookmarkStart w:id="128" w:name="_Toc16938542"/>
      <w:bookmarkEnd w:id="128"/>
      <w:bookmarkStart w:id="129" w:name="_Toc513029226"/>
    </w:p>
    <w:p w14:paraId="648AD2A4">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18、投标截止时间</w:t>
      </w:r>
    </w:p>
    <w:p w14:paraId="7605FA52">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i/>
          <w:color w:val="auto"/>
          <w:sz w:val="28"/>
          <w:szCs w:val="28"/>
          <w:highlight w:val="none"/>
          <w:u w:val="single"/>
        </w:rPr>
        <w:t>18.1投标人上传电子投标文件的时间不得迟于招标公告中规定的投标截止时间。</w:t>
      </w:r>
    </w:p>
    <w:p w14:paraId="6C89E2A0">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投标人应充分考虑到网络环境、网络带宽等风险因素，如因投标人自身原因造成的电子投标文件上传不成功的按照本招标文件第二章第26.1.2条 规定做无效投标处理。</w:t>
      </w:r>
    </w:p>
    <w:p w14:paraId="6378A69C">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18.2采购人可以按照规定，通过修改招标文件酌情延长投标截止时间，在此情况下，投标人的所有权利和义务以及投标人受制的截止时间均应以延长后新的截止时间为准。</w:t>
      </w:r>
    </w:p>
    <w:p w14:paraId="086AD317">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130" w:name="_Toc16938543"/>
      <w:bookmarkStart w:id="131" w:name="_Toc513029227"/>
      <w:bookmarkStart w:id="132" w:name="_Toc20823299"/>
      <w:r>
        <w:rPr>
          <w:rFonts w:hint="eastAsia" w:ascii="仿宋" w:hAnsi="仿宋" w:eastAsia="仿宋" w:cs="仿宋"/>
          <w:color w:val="auto"/>
          <w:sz w:val="28"/>
          <w:szCs w:val="28"/>
          <w:highlight w:val="none"/>
        </w:rPr>
        <w:t>19、投标文件</w:t>
      </w:r>
      <w:bookmarkEnd w:id="130"/>
      <w:bookmarkEnd w:id="131"/>
      <w:bookmarkEnd w:id="132"/>
      <w:r>
        <w:rPr>
          <w:rFonts w:hint="eastAsia" w:ascii="仿宋" w:hAnsi="仿宋" w:eastAsia="仿宋" w:cs="仿宋"/>
          <w:color w:val="auto"/>
          <w:sz w:val="28"/>
          <w:szCs w:val="28"/>
          <w:highlight w:val="none"/>
        </w:rPr>
        <w:t>的拒收</w:t>
      </w:r>
    </w:p>
    <w:p w14:paraId="12CC26CA">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19.1采购人拒绝接收在其规定的投标截止时间后上传的任何投标文件。</w:t>
      </w:r>
    </w:p>
    <w:p w14:paraId="3A0A32B5">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133" w:name="_Toc513029228"/>
      <w:bookmarkStart w:id="134" w:name="_Toc16938544"/>
      <w:bookmarkStart w:id="135" w:name="_Toc20823300"/>
      <w:r>
        <w:rPr>
          <w:rFonts w:hint="eastAsia" w:ascii="仿宋" w:hAnsi="仿宋" w:eastAsia="仿宋" w:cs="仿宋"/>
          <w:color w:val="auto"/>
          <w:sz w:val="28"/>
          <w:szCs w:val="28"/>
          <w:highlight w:val="none"/>
        </w:rPr>
        <w:t>20、投标文件的撤回和修改</w:t>
      </w:r>
      <w:bookmarkEnd w:id="133"/>
      <w:bookmarkEnd w:id="134"/>
      <w:bookmarkEnd w:id="135"/>
    </w:p>
    <w:p w14:paraId="37A21091">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20.1投标文件的撤回</w:t>
      </w:r>
    </w:p>
    <w:p w14:paraId="046A27C5">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20.1.1电子投标文件的撤回</w:t>
      </w:r>
    </w:p>
    <w:p w14:paraId="1AD00AE5">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投标人可在投标截止时间前，撤回其电子投标文件，具体操作方法见《操作手册》。</w:t>
      </w:r>
    </w:p>
    <w:p w14:paraId="5136BA0E">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20.1.2投标人撤回电子投标文件，则认为其不再参与本项目投标活动。</w:t>
      </w:r>
    </w:p>
    <w:p w14:paraId="6CE6F6E9">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20.2 投标文件的修改</w:t>
      </w:r>
    </w:p>
    <w:p w14:paraId="069523E1">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20.2.1投标人可在投标截止时间前，对其电子投标文件进行修改，具体操作方法见《操作手册》。</w:t>
      </w:r>
    </w:p>
    <w:p w14:paraId="0F87E2D5">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20.2.2在投标截止时间之后，投标人不得对其电子投标文件作任何修改。</w:t>
      </w:r>
    </w:p>
    <w:p w14:paraId="00707CC7">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20.3在投标截止时间至招标文件中规定的投标有效期满之间的这段时间内，投标人不得撤回其投标。</w:t>
      </w:r>
    </w:p>
    <w:p w14:paraId="4871AB86">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2" w:firstLineChars="200"/>
        <w:jc w:val="both"/>
        <w:textAlignment w:val="auto"/>
        <w:rPr>
          <w:rFonts w:ascii="仿宋" w:hAnsi="仿宋" w:eastAsia="仿宋" w:cs="仿宋"/>
          <w:color w:val="auto"/>
          <w:sz w:val="28"/>
          <w:szCs w:val="28"/>
          <w:highlight w:val="none"/>
        </w:rPr>
      </w:pPr>
      <w:bookmarkStart w:id="136" w:name="_Toc20823301"/>
      <w:bookmarkStart w:id="137" w:name="_Toc16938545"/>
      <w:bookmarkStart w:id="138" w:name="_Toc513029229"/>
      <w:bookmarkStart w:id="139" w:name="_Toc120614218"/>
      <w:r>
        <w:rPr>
          <w:rFonts w:hint="eastAsia" w:ascii="仿宋" w:hAnsi="仿宋" w:eastAsia="仿宋" w:cs="仿宋"/>
          <w:b/>
          <w:color w:val="auto"/>
          <w:sz w:val="28"/>
          <w:szCs w:val="28"/>
          <w:highlight w:val="none"/>
        </w:rPr>
        <w:t>五、开标与评标</w:t>
      </w:r>
      <w:bookmarkEnd w:id="136"/>
      <w:bookmarkEnd w:id="137"/>
      <w:bookmarkEnd w:id="138"/>
      <w:bookmarkEnd w:id="139"/>
    </w:p>
    <w:p w14:paraId="3B0D84FD">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140" w:name="_Toc20823302"/>
      <w:bookmarkStart w:id="141" w:name="_Toc513029230"/>
      <w:bookmarkStart w:id="142" w:name="_Toc16938546"/>
      <w:r>
        <w:rPr>
          <w:rFonts w:hint="eastAsia" w:ascii="仿宋" w:hAnsi="仿宋" w:eastAsia="仿宋" w:cs="仿宋"/>
          <w:color w:val="auto"/>
          <w:sz w:val="28"/>
          <w:szCs w:val="28"/>
          <w:highlight w:val="none"/>
        </w:rPr>
        <w:t>21、开标</w:t>
      </w:r>
      <w:bookmarkEnd w:id="140"/>
      <w:bookmarkEnd w:id="141"/>
      <w:bookmarkEnd w:id="142"/>
    </w:p>
    <w:p w14:paraId="751C61E6">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21.1交易中心将在招标公告中规定的时间和地点组织公开开标。投标人应当按照《操作手册》规定，参加开标活动和在苏采云系统规定的时间内对投标文件进行解密。</w:t>
      </w:r>
    </w:p>
    <w:p w14:paraId="3ACAAC0F">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21.2开标仪式由交易中心组织。苏采云系统将自动对项目进行开标，并宣布各投标人名称和投标价格。</w:t>
      </w:r>
    </w:p>
    <w:p w14:paraId="06CDE465">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21.3投标人在开标过程中涉及到的投标文件解密、开标结果确认等工作，应按照《操作手册》规定执行。</w:t>
      </w:r>
    </w:p>
    <w:p w14:paraId="3904EE24">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21.4投标人如果对开标过程和开标记录有疑义，应当根据《操作手册》规定提出，如苏采云系统中《开标记录表》宣布后5分钟内未提出的，视同认可开标结果。</w:t>
      </w:r>
    </w:p>
    <w:p w14:paraId="04E7A4E6">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143" w:name="_Toc20823303"/>
      <w:bookmarkStart w:id="144" w:name="_Toc513029231"/>
      <w:bookmarkStart w:id="145" w:name="_Toc16938547"/>
      <w:r>
        <w:rPr>
          <w:rFonts w:hint="eastAsia" w:ascii="仿宋" w:hAnsi="仿宋" w:eastAsia="仿宋" w:cs="仿宋"/>
          <w:color w:val="auto"/>
          <w:sz w:val="28"/>
          <w:szCs w:val="28"/>
          <w:highlight w:val="none"/>
        </w:rPr>
        <w:t>22、评标委员会</w:t>
      </w:r>
      <w:bookmarkEnd w:id="143"/>
      <w:bookmarkEnd w:id="144"/>
      <w:bookmarkEnd w:id="145"/>
    </w:p>
    <w:p w14:paraId="0E4E74F3">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2"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w:t>
      </w:r>
      <w:r>
        <w:rPr>
          <w:rFonts w:hint="eastAsia" w:ascii="仿宋" w:hAnsi="仿宋" w:eastAsia="仿宋" w:cs="仿宋"/>
          <w:color w:val="auto"/>
          <w:sz w:val="28"/>
          <w:szCs w:val="28"/>
          <w:highlight w:val="none"/>
        </w:rPr>
        <w:t>22.1开标后，交易中心将立即组织评标委员会（以下简称评委会）进行评标。</w:t>
      </w:r>
    </w:p>
    <w:p w14:paraId="7CB92A1E">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22.2评委会由采购人代表和有关技术、经济等方面的专家组成，且人员构成符合政府采购有关规定。</w:t>
      </w:r>
    </w:p>
    <w:p w14:paraId="783FD103">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22.3评委会独立工作，负责评审所有投标文件并确定</w:t>
      </w:r>
      <w:r>
        <w:rPr>
          <w:rFonts w:hint="eastAsia" w:ascii="仿宋" w:hAnsi="仿宋" w:eastAsia="仿宋" w:cs="仿宋"/>
          <w:color w:val="auto"/>
          <w:sz w:val="28"/>
          <w:szCs w:val="28"/>
          <w:highlight w:val="none"/>
          <w:lang w:eastAsia="zh-CN"/>
        </w:rPr>
        <w:t>中标候选人</w:t>
      </w:r>
      <w:r>
        <w:rPr>
          <w:rFonts w:hint="eastAsia" w:ascii="仿宋" w:hAnsi="仿宋" w:eastAsia="仿宋" w:cs="仿宋"/>
          <w:color w:val="auto"/>
          <w:sz w:val="28"/>
          <w:szCs w:val="28"/>
          <w:highlight w:val="none"/>
        </w:rPr>
        <w:t>。</w:t>
      </w:r>
    </w:p>
    <w:p w14:paraId="76875FDB">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23、评标过程的保密与公正</w:t>
      </w:r>
    </w:p>
    <w:p w14:paraId="2FD27581">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23.1凡是与审查、澄清、评价和比较投标的有关资料以及授标建议等，采购人、评委、交易中心均不得向投标人或与评标无关的其他人员透露。</w:t>
      </w:r>
    </w:p>
    <w:p w14:paraId="07050776">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23.2在评标过程中，投标人不得以任何行为影响评标过程，否则其投标文件将被作为无效投标文件。</w:t>
      </w:r>
    </w:p>
    <w:p w14:paraId="13B2E980">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23.3交易中心和评标委员会不向未中标的投标人解释未中标原因，也不公布评标过程中的相关细节。</w:t>
      </w:r>
    </w:p>
    <w:p w14:paraId="42A2E257">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23.4采用综合评分法的项目，未中标的投标人可于中标结果公告期限届满之日起通过苏采云系统查看自己的评审得分及排序情况。</w:t>
      </w:r>
    </w:p>
    <w:p w14:paraId="70EDAD8F">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146" w:name="_Toc16938548"/>
      <w:bookmarkStart w:id="147" w:name="_Toc20823304"/>
      <w:bookmarkStart w:id="148" w:name="_Toc513029232"/>
      <w:r>
        <w:rPr>
          <w:rFonts w:hint="eastAsia" w:ascii="仿宋" w:hAnsi="仿宋" w:eastAsia="仿宋" w:cs="仿宋"/>
          <w:color w:val="auto"/>
          <w:sz w:val="28"/>
          <w:szCs w:val="28"/>
          <w:highlight w:val="none"/>
        </w:rPr>
        <w:t>24、投标文件的澄清</w:t>
      </w:r>
      <w:bookmarkEnd w:id="146"/>
      <w:bookmarkEnd w:id="147"/>
      <w:bookmarkEnd w:id="148"/>
    </w:p>
    <w:p w14:paraId="3A6FB9E4">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24.1评标期间，评委会对投标文件中含义不明确、同类问题表述不一致或者有明显文字和计算错误的内容 ，有权要求投标人作出必要的澄清、说明或者补正。</w:t>
      </w:r>
    </w:p>
    <w:p w14:paraId="1F1F50FE">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投标人的澄清、说明或者补正不得超出投标文件的范围或者改变投标文件的实质性内容。</w:t>
      </w:r>
    </w:p>
    <w:p w14:paraId="69B0E23F">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评标委员会并非对每个投标人都做澄清要求。</w:t>
      </w:r>
    </w:p>
    <w:p w14:paraId="0DD754C9">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E2659EA">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24.3接到评委会澄清、说明和补正要求的投标人如未按规定做出澄清、说明和补正，其风险由投标人自行承担。</w:t>
      </w:r>
    </w:p>
    <w:p w14:paraId="06D061FF">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149" w:name="_Toc16938549"/>
      <w:bookmarkStart w:id="150" w:name="_Toc513029233"/>
      <w:bookmarkStart w:id="151" w:name="_Toc20823305"/>
      <w:r>
        <w:rPr>
          <w:rFonts w:hint="eastAsia" w:ascii="仿宋" w:hAnsi="仿宋" w:eastAsia="仿宋" w:cs="仿宋"/>
          <w:color w:val="auto"/>
          <w:sz w:val="28"/>
          <w:szCs w:val="28"/>
          <w:highlight w:val="none"/>
        </w:rPr>
        <w:t>25、对投标文件的初审</w:t>
      </w:r>
      <w:bookmarkEnd w:id="149"/>
      <w:bookmarkEnd w:id="150"/>
      <w:bookmarkEnd w:id="151"/>
    </w:p>
    <w:p w14:paraId="3D1D4D7F">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25.1投标文件初审分为资格审查和符合性审查。</w:t>
      </w:r>
    </w:p>
    <w:p w14:paraId="4285F95E">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25.1.1资格审查：依据法律法规和招标文件的规定，由采购人对投标文件中的资格证明文件进行审查。资格审查的结论，采购人以书面形式向评委会进行反馈。</w:t>
      </w:r>
    </w:p>
    <w:p w14:paraId="27A7F73B">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采购人在进行资格性审查的同时，将在“信用中国”网站（www.creditchina.gov.cn）查询投标人的信用记录，以确定投标人是否具备投标资格,查询结果留存并归档。</w:t>
      </w:r>
    </w:p>
    <w:p w14:paraId="55F5404B">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3BD4E4EE">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25.1.2符合性审查：依据招标文件的规定，由评委会从投标文件的有效性、完整性和对招标文件的响应程度进行审查，以确定是否对招标文件的实质性要求作出响应。</w:t>
      </w:r>
    </w:p>
    <w:p w14:paraId="32B0F935">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25.1.3未通过资格审查或符合性审查的投标人，采购人将在苏采云系统中告知未通过资格审查或符合性审查的原因，评标结束后，采购人将不再告知未通过资格审查和符合性审查的原因。</w:t>
      </w:r>
    </w:p>
    <w:p w14:paraId="523A452A">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0E37438A">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21A0A5E">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25.3如果投标文件实质上没有响应招标文件的要求，评委会将予以拒绝，投标人不得通过修改或撤销不</w:t>
      </w:r>
      <w:r>
        <w:rPr>
          <w:rFonts w:hint="eastAsia" w:ascii="仿宋" w:hAnsi="仿宋" w:eastAsia="仿宋" w:cs="仿宋"/>
          <w:color w:val="auto"/>
          <w:sz w:val="28"/>
          <w:szCs w:val="28"/>
          <w:highlight w:val="none"/>
          <w:lang w:val="en-US" w:eastAsia="zh-CN"/>
        </w:rPr>
        <w:t>符</w:t>
      </w:r>
      <w:r>
        <w:rPr>
          <w:rFonts w:hint="eastAsia" w:ascii="仿宋" w:hAnsi="仿宋" w:eastAsia="仿宋" w:cs="仿宋"/>
          <w:color w:val="auto"/>
          <w:sz w:val="28"/>
          <w:szCs w:val="28"/>
          <w:highlight w:val="none"/>
        </w:rPr>
        <w:t>合要求的偏离或保留而使其投标成为实质性响应的投标。</w:t>
      </w:r>
    </w:p>
    <w:p w14:paraId="493DE38B">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25.4评委会将对确定为实质性响应的投标进行进一步审核，确定其是否有计算上或累加上的算术错误，修正错误的原则如下：</w:t>
      </w:r>
    </w:p>
    <w:p w14:paraId="2AF816D2">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（1）投标文件中开标一览表内容与投标文件中相应内容不一致的，以开标一览表为准。</w:t>
      </w:r>
    </w:p>
    <w:p w14:paraId="4CCB12C0">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（2）大写金额和小写金额不一致的，以大写金额为准。</w:t>
      </w:r>
    </w:p>
    <w:p w14:paraId="738A51B5">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（3）单价金额小数点或者百分比有明显错位的，以开标一览表的总价为准，并修改单价。</w:t>
      </w:r>
    </w:p>
    <w:p w14:paraId="5B882257">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（4）总价金额与按单价汇总金额不一致的，以单价金额计算结果为准。</w:t>
      </w:r>
    </w:p>
    <w:p w14:paraId="0F61B7AC">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同时出现两种以上错误的，按照前款规定的顺序修正。</w:t>
      </w:r>
    </w:p>
    <w:p w14:paraId="4F760812">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11C8A626">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152" w:name="_Toc513029234"/>
      <w:bookmarkStart w:id="153" w:name="_Toc20823306"/>
      <w:bookmarkStart w:id="154" w:name="_Toc16938550"/>
      <w:r>
        <w:rPr>
          <w:rFonts w:hint="eastAsia" w:ascii="仿宋" w:hAnsi="仿宋" w:eastAsia="仿宋" w:cs="仿宋"/>
          <w:color w:val="auto"/>
          <w:sz w:val="28"/>
          <w:szCs w:val="28"/>
          <w:highlight w:val="none"/>
        </w:rPr>
        <w:t>25.6投标人在开、评标全过程中应保持通</w:t>
      </w:r>
      <w:r>
        <w:rPr>
          <w:rFonts w:hint="eastAsia" w:ascii="仿宋" w:hAnsi="仿宋" w:eastAsia="仿宋" w:cs="仿宋"/>
          <w:color w:val="auto"/>
          <w:sz w:val="28"/>
          <w:szCs w:val="28"/>
          <w:highlight w:val="none"/>
          <w:lang w:val="en-US" w:eastAsia="zh-CN"/>
        </w:rPr>
        <w:t>信</w:t>
      </w:r>
      <w:r>
        <w:rPr>
          <w:rFonts w:hint="eastAsia" w:ascii="仿宋" w:hAnsi="仿宋" w:eastAsia="仿宋" w:cs="仿宋"/>
          <w:color w:val="auto"/>
          <w:sz w:val="28"/>
          <w:szCs w:val="28"/>
          <w:highlight w:val="none"/>
        </w:rPr>
        <w:t>畅通，及时登录苏采云系统查阅、答复相关信息，并安排专人与交易中心及评标委员会联系。</w:t>
      </w:r>
      <w:bookmarkEnd w:id="152"/>
      <w:bookmarkEnd w:id="153"/>
      <w:bookmarkEnd w:id="154"/>
    </w:p>
    <w:p w14:paraId="57C5B1DE">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26、无效投标条款和废标条款</w:t>
      </w:r>
    </w:p>
    <w:p w14:paraId="4E0814FA">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155" w:name="_Toc513029235"/>
      <w:bookmarkStart w:id="156" w:name="_Toc16938551"/>
      <w:bookmarkStart w:id="157" w:name="_Toc20823307"/>
      <w:r>
        <w:rPr>
          <w:rFonts w:hint="eastAsia" w:ascii="仿宋" w:hAnsi="仿宋" w:eastAsia="仿宋" w:cs="仿宋"/>
          <w:color w:val="auto"/>
          <w:sz w:val="28"/>
          <w:szCs w:val="28"/>
          <w:highlight w:val="none"/>
        </w:rPr>
        <w:t>26.1无效投标条款</w:t>
      </w:r>
      <w:bookmarkEnd w:id="155"/>
      <w:bookmarkEnd w:id="156"/>
      <w:bookmarkEnd w:id="157"/>
    </w:p>
    <w:p w14:paraId="30EA6DAF">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26.1.1投标人在苏采云系统规定的时间内未成功解密电子投标文件的。</w:t>
      </w:r>
    </w:p>
    <w:p w14:paraId="580499D7">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26.1.2投标人未按照招标文件要求上传电子投标文件的。</w:t>
      </w:r>
    </w:p>
    <w:p w14:paraId="2618A67A">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26.1.3同一投标人提交两个（含两个）以上不同的投标报价的。</w:t>
      </w:r>
    </w:p>
    <w:p w14:paraId="11A07B89">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26.1.4投标人不具备招标文件中规定资格要求的。</w:t>
      </w:r>
    </w:p>
    <w:p w14:paraId="0769D0FD">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26.1.5投标人的报价超过了采购预算或最高限价的。</w:t>
      </w:r>
    </w:p>
    <w:p w14:paraId="21DE11D7">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26.1.6未通过符合性审查的。</w:t>
      </w:r>
    </w:p>
    <w:p w14:paraId="5ADD9613">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26.1.7不符合招标文件中规定的实质性要求和条件的（</w:t>
      </w:r>
      <w:r>
        <w:rPr>
          <w:rFonts w:hint="eastAsia" w:ascii="仿宋" w:hAnsi="仿宋" w:eastAsia="仿宋" w:cs="仿宋"/>
          <w:i/>
          <w:color w:val="auto"/>
          <w:sz w:val="28"/>
          <w:szCs w:val="28"/>
          <w:highlight w:val="none"/>
          <w:u w:val="single"/>
        </w:rPr>
        <w:t>本招标文件中斜体且有下划线部分为实质性要求和条件）。</w:t>
      </w:r>
    </w:p>
    <w:p w14:paraId="0D5A146B">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88EE581">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26.1.9投标文件含有采购人不能接受的附加条件的。</w:t>
      </w:r>
    </w:p>
    <w:p w14:paraId="0AF3D737">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26.1.10投标人不能证明其报价合理性的，评标委员会应当将其作为无效投标处理。</w:t>
      </w:r>
    </w:p>
    <w:p w14:paraId="6401C28A">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（一）评审过程中出现下列情形之一的，评标委员会应当启动异常低价投标审查程序：</w:t>
      </w:r>
    </w:p>
    <w:p w14:paraId="56A3FE85">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1.投标报价低于采购项目预算50%的，即投标报价&lt;采购项目预算×50%；</w:t>
      </w:r>
    </w:p>
    <w:p w14:paraId="52BA6583">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2.投标报价低于采购项目最高限价45%的，即投标报价&lt;采购项目最高限价×45%；</w:t>
      </w:r>
    </w:p>
    <w:p w14:paraId="3634C0E6">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3.评标委员会认定的供应商报价过低、有可能影响产品质量或者不能诚信履约的其他情形。</w:t>
      </w:r>
    </w:p>
    <w:p w14:paraId="4EAE77B5">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4DAEC083">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26.1.11投标文件未按照招标文件要求加盖CA电子公章的。</w:t>
      </w:r>
    </w:p>
    <w:p w14:paraId="461E40EF">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26.1.12其他法律、法规及本招标文件规定的属无效投标的情形。</w:t>
      </w:r>
    </w:p>
    <w:p w14:paraId="0633C07A">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26.2废标条款</w:t>
      </w:r>
    </w:p>
    <w:p w14:paraId="7B0377A9">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26.2.1符合专业条件的供应商或者对招标文件作实质响应的供应商不足三家的。</w:t>
      </w:r>
    </w:p>
    <w:p w14:paraId="43F8EFD6">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26.2.2出现影响采购公正的违法、违规行为的。</w:t>
      </w:r>
    </w:p>
    <w:p w14:paraId="71AD115F">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26.2.3因重大变故，采购任务取消的。</w:t>
      </w:r>
    </w:p>
    <w:p w14:paraId="0FCC8095">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26.2.4评标委员会认定招标文件存在歧义、重大缺陷导致评审工作无法进行。</w:t>
      </w:r>
    </w:p>
    <w:p w14:paraId="6BC3517A">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26.2.5因苏采云系统系统故障原因造成开标不成功的。</w:t>
      </w:r>
    </w:p>
    <w:p w14:paraId="6BA9BE05">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26.3 投标截止时间结束后参加投标的供应商不足三家的处理：</w:t>
      </w:r>
    </w:p>
    <w:p w14:paraId="169D49E7">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26.3.1如出现投标截止时间结束后参加投标的供应商或者在评标期间对招标文件做出实质响应的供应商不足三家情况，按政府采购相关规定执行。</w:t>
      </w:r>
    </w:p>
    <w:p w14:paraId="2F419015">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2" w:firstLineChars="200"/>
        <w:jc w:val="both"/>
        <w:textAlignment w:val="auto"/>
        <w:rPr>
          <w:rFonts w:ascii="仿宋" w:hAnsi="仿宋" w:eastAsia="仿宋" w:cs="仿宋"/>
          <w:color w:val="auto"/>
          <w:sz w:val="28"/>
          <w:szCs w:val="28"/>
          <w:highlight w:val="none"/>
        </w:rPr>
      </w:pPr>
      <w:bookmarkStart w:id="158" w:name="_Toc120614219"/>
      <w:r>
        <w:rPr>
          <w:rFonts w:hint="eastAsia" w:ascii="仿宋" w:hAnsi="仿宋" w:eastAsia="仿宋" w:cs="仿宋"/>
          <w:b/>
          <w:color w:val="auto"/>
          <w:sz w:val="28"/>
          <w:szCs w:val="28"/>
          <w:highlight w:val="none"/>
        </w:rPr>
        <w:t>六、定标</w:t>
      </w:r>
      <w:bookmarkEnd w:id="158"/>
    </w:p>
    <w:p w14:paraId="0280C56A">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159" w:name="_Toc20823310"/>
      <w:bookmarkStart w:id="160" w:name="_Toc513029238"/>
      <w:bookmarkStart w:id="161" w:name="_Toc16938554"/>
      <w:r>
        <w:rPr>
          <w:rFonts w:hint="eastAsia" w:ascii="仿宋" w:hAnsi="仿宋" w:eastAsia="仿宋" w:cs="仿宋"/>
          <w:color w:val="auto"/>
          <w:sz w:val="28"/>
          <w:szCs w:val="28"/>
          <w:highlight w:val="none"/>
        </w:rPr>
        <w:t>27、</w:t>
      </w:r>
      <w:bookmarkEnd w:id="159"/>
      <w:r>
        <w:rPr>
          <w:rFonts w:hint="eastAsia" w:ascii="仿宋" w:hAnsi="仿宋" w:eastAsia="仿宋" w:cs="仿宋"/>
          <w:color w:val="auto"/>
          <w:sz w:val="28"/>
          <w:szCs w:val="28"/>
          <w:highlight w:val="none"/>
        </w:rPr>
        <w:t>确定</w:t>
      </w:r>
      <w:bookmarkEnd w:id="160"/>
      <w:bookmarkEnd w:id="161"/>
      <w:r>
        <w:rPr>
          <w:rFonts w:hint="eastAsia" w:ascii="仿宋" w:hAnsi="仿宋" w:eastAsia="仿宋" w:cs="仿宋"/>
          <w:color w:val="auto"/>
          <w:sz w:val="28"/>
          <w:szCs w:val="28"/>
          <w:highlight w:val="none"/>
        </w:rPr>
        <w:t>中标单位</w:t>
      </w:r>
    </w:p>
    <w:p w14:paraId="311ED4F2">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27.1中标候选人的选取原则和数量见招标文件第五章规定。 </w:t>
      </w:r>
    </w:p>
    <w:p w14:paraId="7E30E03C">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27.2采购人应根据评委会推荐的中标候选人确定中标人。</w:t>
      </w:r>
    </w:p>
    <w:p w14:paraId="1DE42A0F">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27.3交易中心将在</w:t>
      </w:r>
      <w:r>
        <w:rPr>
          <w:rFonts w:hint="eastAsia" w:ascii="仿宋" w:hAnsi="仿宋" w:eastAsia="仿宋" w:cs="仿宋"/>
          <w:color w:val="auto"/>
          <w:sz w:val="28"/>
          <w:szCs w:val="28"/>
          <w:highlight w:val="none"/>
          <w:shd w:val="clear" w:color="auto" w:fill="FFFFFF"/>
        </w:rPr>
        <w:t>“</w:t>
      </w:r>
      <w:r>
        <w:rPr>
          <w:rFonts w:hint="eastAsia" w:ascii="仿宋" w:hAnsi="仿宋" w:eastAsia="仿宋" w:cs="仿宋"/>
          <w:color w:val="auto"/>
          <w:sz w:val="28"/>
          <w:szCs w:val="28"/>
          <w:highlight w:val="none"/>
        </w:rPr>
        <w:t>中国政府采购网</w:t>
      </w:r>
      <w:r>
        <w:rPr>
          <w:rFonts w:hint="eastAsia" w:ascii="仿宋" w:hAnsi="仿宋" w:eastAsia="仿宋" w:cs="仿宋"/>
          <w:color w:val="auto"/>
          <w:sz w:val="28"/>
          <w:szCs w:val="28"/>
          <w:highlight w:val="none"/>
          <w:shd w:val="clear" w:color="auto" w:fill="FFFFFF"/>
        </w:rPr>
        <w:t>”、“</w:t>
      </w:r>
      <w:r>
        <w:rPr>
          <w:rFonts w:hint="eastAsia" w:ascii="仿宋" w:hAnsi="仿宋" w:eastAsia="仿宋" w:cs="仿宋"/>
          <w:color w:val="auto"/>
          <w:sz w:val="28"/>
          <w:szCs w:val="28"/>
          <w:highlight w:val="none"/>
          <w:shd w:val="clear" w:color="auto" w:fill="FFFFFF"/>
          <w:lang w:eastAsia="zh-CN"/>
        </w:rPr>
        <w:t>江苏政府采购网</w:t>
      </w:r>
      <w:r>
        <w:rPr>
          <w:rFonts w:hint="eastAsia" w:ascii="仿宋" w:hAnsi="仿宋" w:eastAsia="仿宋" w:cs="仿宋"/>
          <w:color w:val="auto"/>
          <w:sz w:val="28"/>
          <w:szCs w:val="28"/>
          <w:highlight w:val="none"/>
          <w:shd w:val="clear" w:color="auto" w:fill="FFFFFF"/>
        </w:rPr>
        <w:t>”、“盐城市政府采购网”、“盐城市盐都区人民政府网”</w:t>
      </w:r>
      <w:r>
        <w:rPr>
          <w:rFonts w:hint="eastAsia" w:ascii="仿宋" w:hAnsi="仿宋" w:eastAsia="仿宋" w:cs="仿宋"/>
          <w:color w:val="auto"/>
          <w:sz w:val="28"/>
          <w:szCs w:val="28"/>
          <w:highlight w:val="none"/>
        </w:rPr>
        <w:t>发布中标公告，公告期限为1个工作日。</w:t>
      </w:r>
    </w:p>
    <w:p w14:paraId="31BB989A">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27.4若有充分证据证明，中标人出现下列情况之一的，一经查实，将被取消中标资格：</w:t>
      </w:r>
    </w:p>
    <w:p w14:paraId="6785F7F2">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27.4.1提供虚假材料谋取中标的。</w:t>
      </w:r>
    </w:p>
    <w:p w14:paraId="7F2D0F9A">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27.4.2向采购人、交易中心行贿或者提供其他不正当利益的。</w:t>
      </w:r>
    </w:p>
    <w:p w14:paraId="602DBA36">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27.4.3属于本文件规定的无效条件，但在评标过程中又未被评委会发现的。</w:t>
      </w:r>
    </w:p>
    <w:p w14:paraId="3AE45E2A">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27.4.4与采购人或者其他供应商恶意串通的。</w:t>
      </w:r>
    </w:p>
    <w:p w14:paraId="17176740">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27.4.5采取不正当手段诋毁、排挤其他供应商的。</w:t>
      </w:r>
    </w:p>
    <w:p w14:paraId="5BA82D3F">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162" w:name="_Toc200451960"/>
      <w:r>
        <w:rPr>
          <w:rFonts w:hint="eastAsia" w:ascii="仿宋" w:hAnsi="仿宋" w:eastAsia="仿宋" w:cs="仿宋"/>
          <w:color w:val="auto"/>
          <w:sz w:val="28"/>
          <w:szCs w:val="28"/>
          <w:highlight w:val="none"/>
        </w:rPr>
        <w:t>27.5 有下列情形之一的，视为投标人串通投标，投标无效：</w:t>
      </w:r>
      <w:bookmarkEnd w:id="162"/>
    </w:p>
    <w:p w14:paraId="3933C327">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27.5.1不同投标人的投标文件由同一单位或者个人编制。</w:t>
      </w:r>
    </w:p>
    <w:p w14:paraId="1C9CEE2B">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27.5.2不同投标人委托同一单位或者个人办理投标事宜。</w:t>
      </w:r>
    </w:p>
    <w:p w14:paraId="7FBCC317">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27.5.3不同投标人的投标文件载明的项目管理成员或者联系人员为同一人。</w:t>
      </w:r>
    </w:p>
    <w:p w14:paraId="3010DED9">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27.5.4不同投标人的投标文件异常一致或者投标报价呈规律性差异。</w:t>
      </w:r>
    </w:p>
    <w:p w14:paraId="59702850">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28、质疑处理</w:t>
      </w:r>
    </w:p>
    <w:p w14:paraId="31D2EE2F">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28.1提出质疑的供应商应当是参与所质疑项目采购活动的供应商。潜在供应商依法获取其可质疑的采购文件的，可以对采购文件提出质疑。</w:t>
      </w:r>
    </w:p>
    <w:p w14:paraId="3D9CB921">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p>
    <w:p w14:paraId="7118C265">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28.2.1对可以质疑的采购文件提出质疑的，为收到采购文件之日或者采购文件公告期限届满之日；</w:t>
      </w:r>
    </w:p>
    <w:p w14:paraId="0312DF0D">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28.2.2对采购过程提出质疑的，为各采购程序环节结束之日；</w:t>
      </w:r>
    </w:p>
    <w:p w14:paraId="3AED8EB4">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28.2.3对中标或者成交结果提出质疑的，为中标或者成交结果公告期限届满之日。</w:t>
      </w:r>
    </w:p>
    <w:p w14:paraId="08FCA00C">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供应商应当在法定质疑期内一次性提出针对同一采购程序环节的质疑。供应商如在法定期限内对同一采购程序环节提出多次质疑的，采购人将只对供应商第一次质疑作出答复。</w:t>
      </w:r>
    </w:p>
    <w:p w14:paraId="6C673996">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7C4359C7">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28.4供应商（含潜在供应商）对与本项目有关的所有询问、质疑均请向采购人提出，由采购人负责答复。</w:t>
      </w:r>
    </w:p>
    <w:p w14:paraId="053BF531">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采购人只接收以纸质原件形式送达的质疑,采购人不接受未填写快递运单的快件。</w:t>
      </w:r>
    </w:p>
    <w:p w14:paraId="630674D1">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28.5 以下情形的质疑不予受理</w:t>
      </w:r>
    </w:p>
    <w:p w14:paraId="0F26E43B">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28.5.1内容不符合《政府采购质疑和投诉办法》第十二条规定的质疑。</w:t>
      </w:r>
    </w:p>
    <w:p w14:paraId="7B9E784C">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28.5.2超出政府采购法定期限的质疑。</w:t>
      </w:r>
    </w:p>
    <w:p w14:paraId="4F771FAB">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28.5.3以传真、电子邮件等方式递交的非原件形式的质疑。</w:t>
      </w:r>
    </w:p>
    <w:p w14:paraId="54A6AB53">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28.5.4未参加投标活动的供应商或在投标活动中自身权益未受到损害的供应商所提出的质疑。</w:t>
      </w:r>
    </w:p>
    <w:p w14:paraId="53B4E29E">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28.5.5供应商组成联合体参加投标，联合体中任何一方或多方未按要求签字、盖章、加盖公章的质疑。</w:t>
      </w:r>
    </w:p>
    <w:p w14:paraId="25DB4F06">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28.6供应商提出书面质疑必须有理、有据，不得捏造事实、提供虚假材料进行恶意质疑。否则，一经查实，</w:t>
      </w:r>
      <w:r>
        <w:rPr>
          <w:rFonts w:hint="eastAsia" w:ascii="仿宋" w:hAnsi="仿宋" w:eastAsia="仿宋" w:cs="仿宋"/>
          <w:color w:val="auto"/>
          <w:sz w:val="28"/>
          <w:szCs w:val="28"/>
          <w:highlight w:val="none"/>
          <w:lang w:val="en-US" w:eastAsia="zh-CN"/>
        </w:rPr>
        <w:t>采购人</w:t>
      </w:r>
      <w:r>
        <w:rPr>
          <w:rFonts w:hint="eastAsia" w:ascii="仿宋" w:hAnsi="仿宋" w:eastAsia="仿宋" w:cs="仿宋"/>
          <w:color w:val="auto"/>
          <w:sz w:val="28"/>
          <w:szCs w:val="28"/>
          <w:highlight w:val="none"/>
        </w:rPr>
        <w:t>有权依据政府采购的有关规定，报请政府采购监管部门对该供应商进行相应的行政处罚和记录该供应商的失信信息。</w:t>
      </w:r>
    </w:p>
    <w:p w14:paraId="0567AB68">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29、中标通知书</w:t>
      </w:r>
    </w:p>
    <w:p w14:paraId="70444F05">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29.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D891B86">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29.2中标通知书将是合同的一个组成部分。对采购人和中标人均具有法律效力。中标通知书发出后，采购人改变中标结果的，或者中标人放弃中标项目的，应当依法承担法律责任。</w:t>
      </w:r>
    </w:p>
    <w:p w14:paraId="5C1C1008">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2" w:firstLineChars="200"/>
        <w:jc w:val="both"/>
        <w:textAlignment w:val="auto"/>
        <w:rPr>
          <w:rFonts w:ascii="仿宋" w:hAnsi="仿宋" w:eastAsia="仿宋" w:cs="仿宋"/>
          <w:color w:val="auto"/>
          <w:sz w:val="28"/>
          <w:szCs w:val="28"/>
          <w:highlight w:val="none"/>
        </w:rPr>
      </w:pPr>
      <w:bookmarkStart w:id="163" w:name="_Toc20823308"/>
      <w:bookmarkStart w:id="164" w:name="_Toc120614220"/>
      <w:bookmarkStart w:id="165" w:name="_Toc513029236"/>
      <w:bookmarkStart w:id="166" w:name="_Toc16938552"/>
      <w:r>
        <w:rPr>
          <w:rFonts w:hint="eastAsia" w:ascii="仿宋" w:hAnsi="仿宋" w:eastAsia="仿宋" w:cs="仿宋"/>
          <w:b/>
          <w:color w:val="auto"/>
          <w:sz w:val="28"/>
          <w:szCs w:val="28"/>
          <w:highlight w:val="none"/>
        </w:rPr>
        <w:t>七、授予合同</w:t>
      </w:r>
      <w:bookmarkEnd w:id="163"/>
      <w:bookmarkEnd w:id="164"/>
      <w:bookmarkEnd w:id="165"/>
      <w:bookmarkEnd w:id="166"/>
    </w:p>
    <w:p w14:paraId="46DCFD49">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167" w:name="_Toc16938553"/>
      <w:bookmarkStart w:id="168" w:name="_Toc513029237"/>
      <w:bookmarkStart w:id="169" w:name="_Toc20823309"/>
      <w:r>
        <w:rPr>
          <w:rFonts w:hint="eastAsia" w:ascii="仿宋" w:hAnsi="仿宋" w:eastAsia="仿宋" w:cs="仿宋"/>
          <w:color w:val="auto"/>
          <w:sz w:val="28"/>
          <w:szCs w:val="28"/>
          <w:highlight w:val="none"/>
        </w:rPr>
        <w:t>30.签订合同</w:t>
      </w:r>
      <w:bookmarkEnd w:id="167"/>
      <w:bookmarkEnd w:id="168"/>
      <w:bookmarkEnd w:id="169"/>
    </w:p>
    <w:p w14:paraId="7B74E0E1">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30.l中标人应当在中标通知书发出之日起三十日内，按照招标文件确定的事项与采购人签订政府采购合同。</w:t>
      </w:r>
    </w:p>
    <w:p w14:paraId="465C1A39">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30.2招标文件、中标人的投标文件及招标过程中有关澄清、承诺文件均应作为合同附件。</w:t>
      </w:r>
    </w:p>
    <w:p w14:paraId="20A76AAB">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30.3签订合同后，</w:t>
      </w:r>
      <w:r>
        <w:rPr>
          <w:rFonts w:hint="eastAsia" w:ascii="仿宋" w:hAnsi="仿宋" w:eastAsia="仿宋" w:cs="仿宋"/>
          <w:i/>
          <w:color w:val="auto"/>
          <w:sz w:val="28"/>
          <w:szCs w:val="28"/>
          <w:highlight w:val="none"/>
          <w:u w:val="single"/>
        </w:rPr>
        <w:t>中标人不得将合同标的进行转包</w:t>
      </w:r>
      <w:r>
        <w:rPr>
          <w:rFonts w:hint="eastAsia" w:ascii="仿宋" w:hAnsi="仿宋" w:eastAsia="仿宋" w:cs="仿宋"/>
          <w:color w:val="auto"/>
          <w:sz w:val="28"/>
          <w:szCs w:val="28"/>
          <w:highlight w:val="none"/>
        </w:rPr>
        <w:t>。未经采购人同意，中标人也不得采用分包的形式履行合同，否则采购人有权终止合同。转包或分包造成采购人损失的，中标人应承担相应赔偿责任。</w:t>
      </w:r>
    </w:p>
    <w:p w14:paraId="649DA590">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31</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服务（包含与服务相关的货物）的追加</w:t>
      </w:r>
    </w:p>
    <w:p w14:paraId="1E0DA2E9">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0C21DF21">
      <w:pPr>
        <w:pStyle w:val="13"/>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170" w:name="_Toc120614221"/>
      <w:bookmarkStart w:id="171" w:name="_Toc16938558"/>
      <w:bookmarkStart w:id="172" w:name="_Toc20823314"/>
      <w:bookmarkStart w:id="173" w:name="_Toc479757207"/>
      <w:bookmarkStart w:id="174" w:name="_Toc513029242"/>
      <w:r>
        <w:rPr>
          <w:rFonts w:hint="eastAsia" w:ascii="仿宋" w:hAnsi="仿宋" w:eastAsia="仿宋" w:cs="仿宋"/>
          <w:color w:val="auto"/>
          <w:sz w:val="28"/>
          <w:szCs w:val="28"/>
          <w:highlight w:val="none"/>
        </w:rPr>
        <w:t>32</w:t>
      </w:r>
      <w:bookmarkEnd w:id="170"/>
      <w:bookmarkEnd w:id="171"/>
      <w:bookmarkEnd w:id="172"/>
      <w:bookmarkEnd w:id="173"/>
      <w:bookmarkEnd w:id="174"/>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政府采购政策功能落实</w:t>
      </w:r>
    </w:p>
    <w:p w14:paraId="4C544C03">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32.1政府采购线上合同信用融资政策</w:t>
      </w:r>
    </w:p>
    <w:p w14:paraId="0BAA4818">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仿宋" w:hAnsi="仿宋" w:eastAsia="仿宋" w:cs="仿宋"/>
          <w:color w:val="auto"/>
          <w:sz w:val="28"/>
          <w:szCs w:val="28"/>
          <w:highlight w:val="none"/>
          <w:lang w:val="en-US" w:eastAsia="zh-CN"/>
        </w:rPr>
        <w:t>江苏省</w:t>
      </w:r>
      <w:r>
        <w:rPr>
          <w:rFonts w:hint="eastAsia" w:ascii="仿宋" w:hAnsi="仿宋" w:eastAsia="仿宋" w:cs="仿宋"/>
          <w:color w:val="auto"/>
          <w:sz w:val="28"/>
          <w:szCs w:val="28"/>
          <w:highlight w:val="none"/>
        </w:rPr>
        <w:t>政府采购网“政采贷”栏目）申请贷款，相关金融机构按照双方自愿的原则提供便捷、优惠的贷款服务；具体操作流程请参考苏采云系统中操作手册。 </w:t>
      </w:r>
    </w:p>
    <w:p w14:paraId="79806ADB">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32.2进口产品</w:t>
      </w:r>
    </w:p>
    <w:p w14:paraId="23EE5F4A">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2B3FEFA">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32.3中小企业、监狱企业及残疾人福利性单位</w:t>
      </w:r>
    </w:p>
    <w:p w14:paraId="6E1DAD93">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32.3.1中小企业定义：</w:t>
      </w:r>
    </w:p>
    <w:p w14:paraId="22673A97">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FAFF290">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32.3.2供应商提供的货物、工程或者服务符合下列情形的，享受中小企业扶持政策：</w:t>
      </w:r>
    </w:p>
    <w:p w14:paraId="3F4FC375">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32.3.2.1在货物采购项目中，货物由中小企业制造，即货物由中小企业生产且使用该中小企业商号或者注册商标；</w:t>
      </w:r>
    </w:p>
    <w:p w14:paraId="38E1BAEF">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32.3.2.2在工程采购项目中，工程由中小企业承建，即工程施工单位为中小企业；</w:t>
      </w:r>
    </w:p>
    <w:p w14:paraId="679632A1">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32.3.2.3在服务采购项目中，服务由中小企业承接，即提供服务的人员为中小企业依照《中华人民共和国劳动合同法》订立劳动合同的从业人员。</w:t>
      </w:r>
    </w:p>
    <w:p w14:paraId="21F12289">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32.3.3在货物采购项目中，供应商提供的货物既有中小企业制造货物，也有大型企业制造货物的，不享受中小企业扶持政策。</w:t>
      </w:r>
    </w:p>
    <w:p w14:paraId="2DE5FD8F">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32.3.4以联合体形式参加政府采购活动，联合体各方均为中小企业的，联合体视同中小企业。其中，联合体各方均为小微企业的，联合体视同小微企业。</w:t>
      </w:r>
    </w:p>
    <w:p w14:paraId="37537A5E">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2804FAB">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32.3.6残疾人福利单位定义：享受政府采购支持政策的残疾人福利性单位应当同时满足以下条件：</w:t>
      </w:r>
    </w:p>
    <w:p w14:paraId="79DEAD00">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32.3.6.1安置的残疾人占本单位在职职工人数的比例不低于25%（含25%），并且安置的残疾人人数不少于10 人（含10 人）；</w:t>
      </w:r>
    </w:p>
    <w:p w14:paraId="2B3CD02D">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32.3.6.2依法与安置的每位残疾人签订了一年以上（含一年）的劳动合同或服务协议；</w:t>
      </w:r>
    </w:p>
    <w:p w14:paraId="2DEF1A4D">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32.3.6.3为安置的每位残疾人按月足额缴纳了基本养老保险、基本医疗保险、失业保险、工伤保险和生育保险等社会保险费；</w:t>
      </w:r>
    </w:p>
    <w:p w14:paraId="51E9A4DE">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32.3.6.4通过银行等金融机构向安置的每位残疾人，按月支付了不低于单位所在区县适用的经省级人民政府批准的月最低工资标准的工资；</w:t>
      </w:r>
    </w:p>
    <w:p w14:paraId="46DBF52C">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32.3.6.5提供本单位制造的货物、承担的工程或者服务（以下简称产品），或者提供其他残疾人福利性单位制造的货物（不包括使用非残疾人福利性单位注册商标的货物）；</w:t>
      </w:r>
    </w:p>
    <w:p w14:paraId="22F501E4">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74A3344">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32.3.7本项目是否专门面向中小企业预留采购份额见第一章《招标公告》。</w:t>
      </w:r>
    </w:p>
    <w:p w14:paraId="6CABFC67">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32.3.8采购标的对应的中小企业划分标准所属行业见第四章《采购需求》。</w:t>
      </w:r>
    </w:p>
    <w:p w14:paraId="1372411C">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32.3.9小微企业价格评审优惠的政策：见第五章《评标方法和评标标准》。</w:t>
      </w:r>
    </w:p>
    <w:p w14:paraId="52A6DFE4">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32.4政府采购节能产品、环境标志产品</w:t>
      </w:r>
    </w:p>
    <w:p w14:paraId="21198AAA">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375775B">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BC30A7C">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32.5绿色包装</w:t>
      </w:r>
    </w:p>
    <w:p w14:paraId="17430523">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6052BF0B">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32.6政府采购创新产品</w:t>
      </w:r>
    </w:p>
    <w:p w14:paraId="12C50180">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采购人优先采购各级政府部门公开发布的有效期内的创新产品、创新服务、首台套、首购首用等《目录》的创新产品。</w:t>
      </w:r>
    </w:p>
    <w:p w14:paraId="71B47FBF">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32.7绿色数据中心政策 </w:t>
      </w:r>
    </w:p>
    <w:p w14:paraId="3C1C00A2">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84A45A6">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32.8履约保证金政策</w:t>
      </w:r>
    </w:p>
    <w:p w14:paraId="2AA60EDA">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确需收取履约保证金的，履约保证金的缴纳形式：</w:t>
      </w:r>
    </w:p>
    <w:p w14:paraId="391B6496">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D4471BE">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如以履约保函（保险）形式缴纳履约保证金，供应商可通过政府采购电子履约保函（保险）平台（www.jsdzbh.com）在线申请履约保函（保险）。</w:t>
      </w:r>
    </w:p>
    <w:p w14:paraId="191CA30A">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履约保证金金额</w:t>
      </w:r>
      <w:r>
        <w:rPr>
          <w:rFonts w:hint="eastAsia" w:ascii="仿宋" w:hAnsi="仿宋" w:eastAsia="仿宋" w:cs="仿宋"/>
          <w:color w:val="auto"/>
          <w:sz w:val="28"/>
          <w:szCs w:val="28"/>
          <w:highlight w:val="none"/>
          <w:lang w:val="en-US" w:eastAsia="zh-CN"/>
        </w:rPr>
        <w:t>为</w:t>
      </w:r>
      <w:r>
        <w:rPr>
          <w:rFonts w:hint="eastAsia" w:ascii="仿宋" w:hAnsi="仿宋" w:eastAsia="仿宋" w:cs="仿宋"/>
          <w:color w:val="auto"/>
          <w:sz w:val="28"/>
          <w:szCs w:val="28"/>
          <w:highlight w:val="none"/>
        </w:rPr>
        <w:t>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2441D637">
      <w:pPr>
        <w:pStyle w:val="13"/>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 预付款制度</w:t>
      </w:r>
    </w:p>
    <w:p w14:paraId="1759AAC7">
      <w:pPr>
        <w:pStyle w:val="13"/>
        <w:keepNext w:val="0"/>
        <w:keepLines w:val="0"/>
        <w:pageBreakBefore w:val="0"/>
        <w:widowControl w:val="0"/>
        <w:kinsoku/>
        <w:wordWrap/>
        <w:overflowPunct/>
        <w:topLinePunct w:val="0"/>
        <w:autoSpaceDE/>
        <w:autoSpaceDN/>
        <w:bidi w:val="0"/>
        <w:adjustRightInd/>
        <w:snapToGrid/>
        <w:spacing w:beforeAutospacing="0" w:afterAutospacing="0" w:line="56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本项目落实预付款制度，预付款比例为</w:t>
      </w: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原则上不低于合同金额的30%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在签订合同时，中标、成交供应商明确书面表示无需预付款或者主动要求降低预付款比例的，采购人可就预付款比例作相应调整。</w:t>
      </w:r>
    </w:p>
    <w:p w14:paraId="0A8FDB05">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3ECC0495">
      <w:pPr>
        <w:pStyle w:val="13"/>
        <w:spacing w:beforeAutospacing="0" w:afterAutospacing="0"/>
        <w:jc w:val="center"/>
        <w:rPr>
          <w:color w:val="auto"/>
          <w:highlight w:val="none"/>
        </w:rPr>
      </w:pPr>
      <w:r>
        <w:rPr>
          <w:rFonts w:hint="eastAsia" w:ascii="黑体" w:hAnsi="宋体" w:eastAsia="黑体" w:cs="黑体"/>
          <w:color w:val="auto"/>
          <w:sz w:val="44"/>
          <w:szCs w:val="44"/>
          <w:highlight w:val="none"/>
        </w:rPr>
        <w:t>第三章  合同文本</w:t>
      </w:r>
    </w:p>
    <w:p w14:paraId="00A8459C">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bookmarkStart w:id="175" w:name="_Toc513029243"/>
      <w:bookmarkStart w:id="176" w:name="_Toc16938559"/>
      <w:bookmarkStart w:id="177" w:name="_Toc20823315"/>
      <w:r>
        <w:rPr>
          <w:rFonts w:hint="eastAsia" w:ascii="仿宋" w:hAnsi="仿宋" w:eastAsia="仿宋" w:cs="仿宋"/>
          <w:color w:val="000000"/>
          <w:sz w:val="28"/>
          <w:szCs w:val="28"/>
        </w:rPr>
        <w:t>以下为中标后签</w:t>
      </w:r>
      <w:r>
        <w:rPr>
          <w:rFonts w:hint="eastAsia" w:ascii="仿宋" w:hAnsi="仿宋" w:eastAsia="仿宋" w:cs="仿宋"/>
          <w:color w:val="000000"/>
          <w:sz w:val="28"/>
          <w:szCs w:val="28"/>
          <w:lang w:val="en-US" w:eastAsia="zh-CN"/>
        </w:rPr>
        <w:t>订</w:t>
      </w:r>
      <w:r>
        <w:rPr>
          <w:rFonts w:hint="eastAsia" w:ascii="仿宋" w:hAnsi="仿宋" w:eastAsia="仿宋" w:cs="仿宋"/>
          <w:color w:val="000000"/>
          <w:sz w:val="28"/>
          <w:szCs w:val="28"/>
        </w:rPr>
        <w:t>本项目合同的通用条款，中标人不得提出实质性的修改。</w:t>
      </w:r>
      <w:bookmarkEnd w:id="175"/>
      <w:bookmarkEnd w:id="176"/>
      <w:bookmarkEnd w:id="177"/>
    </w:p>
    <w:p w14:paraId="4A23371E">
      <w:pPr>
        <w:pStyle w:val="13"/>
        <w:spacing w:before="145" w:beforeAutospacing="0" w:after="145" w:afterAutospacing="0"/>
        <w:jc w:val="center"/>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盐城市政府采购合同（服务）（合同编号）</w:t>
      </w:r>
    </w:p>
    <w:p w14:paraId="5A3F43F4">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bookmarkStart w:id="178" w:name="_Toc479757211"/>
      <w:bookmarkStart w:id="179" w:name="_Toc462564139"/>
      <w:bookmarkStart w:id="180" w:name="_Toc120614244"/>
      <w:bookmarkStart w:id="181" w:name="_Toc20823346"/>
      <w:bookmarkStart w:id="182" w:name="_Toc16938590"/>
      <w:bookmarkStart w:id="183" w:name="_Hlt16619350"/>
      <w:bookmarkStart w:id="184" w:name="_Hlt16619369"/>
      <w:r>
        <w:rPr>
          <w:rFonts w:hint="eastAsia" w:ascii="仿宋" w:hAnsi="仿宋" w:eastAsia="仿宋" w:cs="仿宋"/>
          <w:color w:val="000000"/>
          <w:sz w:val="28"/>
          <w:szCs w:val="28"/>
        </w:rPr>
        <w:t>项目名称：</w:t>
      </w:r>
      <w:r>
        <w:rPr>
          <w:rFonts w:hint="eastAsia" w:ascii="仿宋" w:hAnsi="仿宋" w:eastAsia="仿宋" w:cs="仿宋"/>
          <w:color w:val="000000"/>
          <w:sz w:val="28"/>
          <w:szCs w:val="28"/>
          <w:lang w:val="en-US" w:eastAsia="zh-CN"/>
        </w:rPr>
        <w:t>盐城市盐都区龙冈镇卫生院2025年-2026年物业服务项目</w:t>
      </w:r>
      <w:r>
        <w:rPr>
          <w:rFonts w:hint="eastAsia" w:ascii="仿宋" w:hAnsi="仿宋" w:eastAsia="仿宋" w:cs="仿宋"/>
          <w:color w:val="000000"/>
          <w:sz w:val="28"/>
          <w:szCs w:val="28"/>
        </w:rPr>
        <w:t xml:space="preserve">   </w:t>
      </w:r>
    </w:p>
    <w:p w14:paraId="612B09B2">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项目编号：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 </w:t>
      </w:r>
    </w:p>
    <w:p w14:paraId="48B60B38">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甲方：（买方）______________</w:t>
      </w:r>
    </w:p>
    <w:p w14:paraId="0BDF6C2F">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乙方：（卖方）_________________</w:t>
      </w:r>
    </w:p>
    <w:p w14:paraId="747623F0">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甲、乙双方根据盐城市盐都区公共资源交易中心 ______项目公开招标的结果，签署本合同。</w:t>
      </w:r>
    </w:p>
    <w:p w14:paraId="3EC2693D">
      <w:pPr>
        <w:pStyle w:val="13"/>
        <w:spacing w:before="120" w:beforeAutospacing="0" w:after="120" w:afterAutospacing="0" w:line="360" w:lineRule="auto"/>
        <w:jc w:val="both"/>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一、合同内容</w:t>
      </w:r>
    </w:p>
    <w:p w14:paraId="29A75734">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1.1 标的名称：</w:t>
      </w:r>
    </w:p>
    <w:p w14:paraId="0AD044EB">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1.2标的质量：</w:t>
      </w:r>
    </w:p>
    <w:p w14:paraId="61103A4E">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1.3 标的数量（规模）：</w:t>
      </w:r>
    </w:p>
    <w:p w14:paraId="2ACC9959">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1.4 履行时间（期限）：</w:t>
      </w:r>
    </w:p>
    <w:p w14:paraId="55B5106E">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1.5 履行地点：</w:t>
      </w:r>
    </w:p>
    <w:p w14:paraId="00B6916E">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1.6履行方式：</w:t>
      </w:r>
    </w:p>
    <w:p w14:paraId="2EA87065">
      <w:pPr>
        <w:pStyle w:val="13"/>
        <w:spacing w:before="120" w:beforeAutospacing="0" w:after="120" w:afterAutospacing="0" w:line="360" w:lineRule="auto"/>
        <w:jc w:val="both"/>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二、合同金额</w:t>
      </w:r>
    </w:p>
    <w:p w14:paraId="1E4E0AE1">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2.1本合同金额为（大写）：____________________________圆（_______________元）人民币或其他币种。</w:t>
      </w:r>
    </w:p>
    <w:p w14:paraId="19B6ADE3">
      <w:pPr>
        <w:pStyle w:val="13"/>
        <w:spacing w:before="120" w:beforeAutospacing="0" w:after="120" w:afterAutospacing="0" w:line="360" w:lineRule="auto"/>
        <w:jc w:val="both"/>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三、技术资料</w:t>
      </w:r>
    </w:p>
    <w:p w14:paraId="2EB0CC6A">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3.1乙方应按招标文件规定的时间向甲方提供服务（包含与服务相关的货物）的有关技术资料。</w:t>
      </w:r>
    </w:p>
    <w:p w14:paraId="3AFAAEDE">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B3B03C8">
      <w:pPr>
        <w:pStyle w:val="13"/>
        <w:spacing w:before="120" w:beforeAutospacing="0" w:after="120" w:afterAutospacing="0" w:line="360" w:lineRule="auto"/>
        <w:ind w:left="412" w:hanging="412"/>
        <w:jc w:val="both"/>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四、知识产权</w:t>
      </w:r>
    </w:p>
    <w:p w14:paraId="6BDE27DD">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4.1乙方应保证甲方在使用、接受本合同服务（包含与服务相关的货物）或其任何一部分时不受第三方提出侵犯其专利权、版权、商标权和工业设计权等知识产权的起诉。一旦出现侵权，由乙方负全部责任。</w:t>
      </w:r>
    </w:p>
    <w:p w14:paraId="7648A0DB">
      <w:pPr>
        <w:pStyle w:val="13"/>
        <w:spacing w:before="120" w:beforeAutospacing="0" w:after="120" w:afterAutospacing="0" w:line="360" w:lineRule="auto"/>
        <w:jc w:val="both"/>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五、产权担保</w:t>
      </w:r>
    </w:p>
    <w:p w14:paraId="60B9986E">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5.1乙方保证所交付的服务（包含与服务相关的货物）的所有权完全属于乙方且无任何抵押、查封等产权瑕疵。</w:t>
      </w:r>
    </w:p>
    <w:p w14:paraId="0BCA6888">
      <w:pPr>
        <w:pStyle w:val="13"/>
        <w:spacing w:before="120" w:beforeAutospacing="0" w:after="120" w:afterAutospacing="0" w:line="360" w:lineRule="auto"/>
        <w:ind w:left="410" w:hanging="410"/>
        <w:jc w:val="both"/>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六、履约保证金</w:t>
      </w:r>
    </w:p>
    <w:p w14:paraId="17FBDE97">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6.1乙方交纳人民币_________元作为本合同的履约保证金。</w:t>
      </w:r>
    </w:p>
    <w:p w14:paraId="6DE04BDB">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（备注：不得超过合同金额的10%，采购人</w:t>
      </w:r>
      <w:r>
        <w:rPr>
          <w:rFonts w:hint="eastAsia" w:ascii="仿宋" w:hAnsi="仿宋" w:eastAsia="仿宋" w:cs="仿宋"/>
          <w:color w:val="000000"/>
          <w:sz w:val="28"/>
          <w:szCs w:val="28"/>
          <w:lang w:eastAsia="zh-CN"/>
        </w:rPr>
        <w:t>应当</w:t>
      </w:r>
      <w:r>
        <w:rPr>
          <w:rFonts w:hint="eastAsia" w:ascii="仿宋" w:hAnsi="仿宋" w:eastAsia="仿宋" w:cs="仿宋"/>
          <w:color w:val="000000"/>
          <w:sz w:val="28"/>
          <w:szCs w:val="28"/>
        </w:rPr>
        <w:t>对AA评级及以上政府采购供应商（需提供信用管理部门备案的第三方信用报告）免收履约保证金或降低履约保证金缴纳比例。</w:t>
      </w:r>
      <w:r>
        <w:rPr>
          <w:rFonts w:hint="eastAsia" w:ascii="仿宋" w:hAnsi="仿宋" w:eastAsia="仿宋" w:cs="仿宋"/>
          <w:color w:val="000000"/>
          <w:sz w:val="28"/>
          <w:szCs w:val="28"/>
          <w:lang w:eastAsia="zh-CN"/>
        </w:rPr>
        <w:t>）</w:t>
      </w:r>
    </w:p>
    <w:p w14:paraId="4C02FCEB">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6.</w:t>
      </w:r>
      <w:r>
        <w:rPr>
          <w:rFonts w:hint="eastAsia" w:ascii="仿宋" w:hAnsi="仿宋" w:eastAsia="仿宋" w:cs="仿宋"/>
          <w:color w:val="000000"/>
          <w:sz w:val="28"/>
          <w:szCs w:val="28"/>
          <w:lang w:val="en-US" w:eastAsia="zh-CN"/>
        </w:rPr>
        <w:t>2确需收取履约保证金的，</w:t>
      </w:r>
      <w:r>
        <w:rPr>
          <w:rFonts w:hint="eastAsia" w:ascii="仿宋" w:hAnsi="仿宋" w:eastAsia="仿宋" w:cs="仿宋"/>
          <w:color w:val="000000"/>
          <w:sz w:val="28"/>
          <w:szCs w:val="28"/>
          <w:lang w:eastAsia="zh-CN"/>
        </w:rPr>
        <w:t>履约保证金的缴纳形式：</w:t>
      </w:r>
    </w:p>
    <w:p w14:paraId="2A060DED">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6.2.1</w:t>
      </w:r>
      <w:r>
        <w:rPr>
          <w:rFonts w:hint="eastAsia" w:ascii="仿宋" w:hAnsi="仿宋" w:eastAsia="仿宋" w:cs="仿宋"/>
          <w:color w:val="000000"/>
          <w:sz w:val="28"/>
          <w:szCs w:val="28"/>
        </w:rPr>
        <w:t>供应商应当以支票、汇票、本票或者金融机构、担保机构出具的保函等非现金形式提交</w:t>
      </w:r>
      <w:r>
        <w:rPr>
          <w:rFonts w:hint="eastAsia" w:ascii="仿宋" w:hAnsi="仿宋" w:eastAsia="仿宋" w:cs="仿宋"/>
          <w:color w:val="000000"/>
          <w:sz w:val="28"/>
          <w:szCs w:val="28"/>
          <w:lang w:eastAsia="zh-CN"/>
        </w:rPr>
        <w:t>履约保证金</w:t>
      </w:r>
      <w:r>
        <w:rPr>
          <w:rFonts w:hint="eastAsia" w:ascii="仿宋" w:hAnsi="仿宋" w:eastAsia="仿宋" w:cs="仿宋"/>
          <w:color w:val="000000"/>
          <w:sz w:val="28"/>
          <w:szCs w:val="28"/>
        </w:rPr>
        <w:t>。依据《关于在全省政府采购领域推行电子履约保函（保险）的通知》，鼓励供应商自愿使用</w:t>
      </w:r>
      <w:r>
        <w:rPr>
          <w:rFonts w:hint="eastAsia" w:ascii="仿宋" w:hAnsi="仿宋" w:eastAsia="仿宋" w:cs="仿宋"/>
          <w:color w:val="000000"/>
          <w:sz w:val="28"/>
          <w:szCs w:val="28"/>
          <w:lang w:eastAsia="zh-CN"/>
        </w:rPr>
        <w:t>电子</w:t>
      </w:r>
      <w:r>
        <w:rPr>
          <w:rFonts w:hint="eastAsia" w:ascii="仿宋" w:hAnsi="仿宋" w:eastAsia="仿宋" w:cs="仿宋"/>
          <w:color w:val="000000"/>
          <w:sz w:val="28"/>
          <w:szCs w:val="28"/>
        </w:rPr>
        <w:t>履约保函（保险）代替缴纳履约保证金</w:t>
      </w:r>
      <w:r>
        <w:rPr>
          <w:rFonts w:hint="eastAsia" w:ascii="仿宋" w:hAnsi="仿宋" w:eastAsia="仿宋" w:cs="仿宋"/>
          <w:color w:val="000000"/>
          <w:sz w:val="28"/>
          <w:szCs w:val="28"/>
          <w:lang w:eastAsia="zh-CN"/>
        </w:rPr>
        <w:t>。</w:t>
      </w:r>
    </w:p>
    <w:p w14:paraId="7FFFD325">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6.2.2 如以履约保函（保险）形式缴纳履约保证金，供应商可通过政府采购电子履约保函（保险）平台（www.jsdzbh.com）在线申请履约保函（保险）。</w:t>
      </w:r>
    </w:p>
    <w:p w14:paraId="3561DD03">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6.</w:t>
      </w: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rPr>
        <w:t>合同履行结束后，甲方应及时退还交纳的履约保证金。</w:t>
      </w:r>
    </w:p>
    <w:p w14:paraId="7B8F2F44">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6.</w:t>
      </w: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rPr>
        <w:t>履约保证金的退还：</w:t>
      </w:r>
    </w:p>
    <w:p w14:paraId="758E90A8">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6.</w:t>
      </w: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rPr>
        <w:t>.1方式：无息退还至投标人缴纳履约保证金的账户。如为保函，在到期时自行失效。</w:t>
      </w:r>
    </w:p>
    <w:p w14:paraId="067DE2A9">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6.</w:t>
      </w: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rPr>
        <w:t>.2时间：验收合格且采购人收到发票后30日内。</w:t>
      </w:r>
    </w:p>
    <w:p w14:paraId="1D18E6FF">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6.</w:t>
      </w: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rPr>
        <w:t>.3条件：按合同要求全部履约完成并经采购人验收合格，且采购人收到中标人出具的发票。</w:t>
      </w:r>
    </w:p>
    <w:p w14:paraId="6BF0AE81">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6.</w:t>
      </w: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rPr>
        <w:t>.4不予退还情形：</w:t>
      </w:r>
    </w:p>
    <w:p w14:paraId="4EA1EC47">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除不可抗力情况外，投标人出现下列情形之一的，其履约保证金，招标人将视情节决定不予退还或部分不予退还。</w:t>
      </w:r>
    </w:p>
    <w:p w14:paraId="6E1B2118">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（1）中标人无正当理由拒绝签订合同的，或者在签订合同时向采购人提出附加条件或者更改合同实质性内容要求的；</w:t>
      </w:r>
    </w:p>
    <w:p w14:paraId="62B33CD6">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（2）中标人不履行与采购人订立的合同的；</w:t>
      </w:r>
    </w:p>
    <w:p w14:paraId="2CB02A14">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（3）中标人所供货物或服务不符合招标文件规定要求的；</w:t>
      </w:r>
    </w:p>
    <w:p w14:paraId="41B0867A">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（4）中标人采取欺骗、弄虚作假方式投标的或与其它投标人串通投标的；</w:t>
      </w:r>
    </w:p>
    <w:p w14:paraId="70F1EE10">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（5）中标人将合同内容转包、违法分包的；</w:t>
      </w:r>
    </w:p>
    <w:p w14:paraId="0CFEA7BC">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（6）中标人故意捏造事实或伪造证明材料，进行虚假恶意投诉或反映的。</w:t>
      </w:r>
    </w:p>
    <w:p w14:paraId="05C8C7E1">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6.</w:t>
      </w: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rPr>
        <w:t>.5逾期退还的违约责任：采购人逾期无故未退还履约保证金的，按中国人民银行同期贷款基准利率上浮20%后的利率支付超期资金占用费，但因供应商自身原因导致无法及时退还的除外。</w:t>
      </w:r>
    </w:p>
    <w:p w14:paraId="4D9011C2">
      <w:pPr>
        <w:pStyle w:val="13"/>
        <w:spacing w:before="145" w:beforeAutospacing="0" w:after="145" w:afterAutospacing="0" w:line="360" w:lineRule="auto"/>
        <w:jc w:val="both"/>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七、合同转包或分包</w:t>
      </w:r>
    </w:p>
    <w:p w14:paraId="36ACB20A">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7.1乙方不得将合同标的转包给他人履行。</w:t>
      </w:r>
    </w:p>
    <w:p w14:paraId="64768C88">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7.2乙方不得将合同标的分包给他人履行。</w:t>
      </w:r>
    </w:p>
    <w:p w14:paraId="4407E50F">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7.3乙方如有转包或未经甲方同意的分包行为，甲方有权解除合同。</w:t>
      </w:r>
    </w:p>
    <w:p w14:paraId="54C10641">
      <w:pPr>
        <w:pStyle w:val="13"/>
        <w:spacing w:before="120" w:beforeAutospacing="0" w:after="120" w:afterAutospacing="0" w:line="360" w:lineRule="auto"/>
        <w:jc w:val="both"/>
        <w:rPr>
          <w:rFonts w:hint="eastAsia" w:ascii="仿宋" w:hAnsi="仿宋" w:eastAsia="仿宋" w:cs="仿宋"/>
          <w:sz w:val="28"/>
          <w:szCs w:val="28"/>
        </w:rPr>
      </w:pPr>
      <w:r>
        <w:rPr>
          <w:rFonts w:hint="eastAsia" w:ascii="仿宋" w:hAnsi="仿宋" w:eastAsia="仿宋" w:cs="仿宋"/>
          <w:b/>
          <w:color w:val="000000"/>
          <w:sz w:val="28"/>
          <w:szCs w:val="28"/>
        </w:rPr>
        <w:t>八、合同款项支付</w:t>
      </w:r>
    </w:p>
    <w:p w14:paraId="2F28E249">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8.1合同款项的支付方式及进度安排</w:t>
      </w:r>
    </w:p>
    <w:p w14:paraId="585BE166">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8.1.1 预付款支付时间：合同签订后</w:t>
      </w:r>
      <w:r>
        <w:rPr>
          <w:rFonts w:hint="eastAsia" w:ascii="仿宋" w:hAnsi="仿宋" w:eastAsia="仿宋" w:cs="仿宋"/>
          <w:color w:val="000000"/>
          <w:sz w:val="28"/>
          <w:szCs w:val="28"/>
          <w:lang w:eastAsia="zh-CN"/>
        </w:rPr>
        <w:t>，采购人收到发票后10个工作日内</w:t>
      </w:r>
      <w:r>
        <w:rPr>
          <w:rFonts w:hint="eastAsia" w:ascii="仿宋" w:hAnsi="仿宋" w:eastAsia="仿宋" w:cs="仿宋"/>
          <w:color w:val="000000"/>
          <w:sz w:val="28"/>
          <w:szCs w:val="28"/>
        </w:rPr>
        <w:t>；预付款支付比例：合同金额的30%。</w:t>
      </w:r>
    </w:p>
    <w:p w14:paraId="7385FE89">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8.1.2 每个月服务结束并考核合格，在下个月的月底支付上个月的服务费，每月的支付费用=总物业服务费/12。预付款从第一个月开始扣减，直至扣完为止。采购人收到发票后10个工作日内，支付相应款项。</w:t>
      </w:r>
    </w:p>
    <w:p w14:paraId="0A45D2B3">
      <w:pPr>
        <w:pStyle w:val="13"/>
        <w:spacing w:before="145" w:beforeAutospacing="0" w:after="145" w:afterAutospacing="0" w:line="360" w:lineRule="auto"/>
        <w:jc w:val="both"/>
        <w:rPr>
          <w:rFonts w:hint="eastAsia" w:ascii="仿宋" w:hAnsi="仿宋" w:eastAsia="仿宋" w:cs="仿宋"/>
          <w:sz w:val="28"/>
          <w:szCs w:val="28"/>
        </w:rPr>
      </w:pPr>
      <w:r>
        <w:rPr>
          <w:rFonts w:hint="eastAsia" w:ascii="仿宋" w:hAnsi="仿宋" w:eastAsia="仿宋" w:cs="仿宋"/>
          <w:b/>
          <w:color w:val="000000"/>
          <w:sz w:val="28"/>
          <w:szCs w:val="28"/>
        </w:rPr>
        <w:t>九、税费</w:t>
      </w:r>
    </w:p>
    <w:p w14:paraId="2CB4DA13">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9.1本合同执行中相关的一切税费均由乙方负担。</w:t>
      </w:r>
    </w:p>
    <w:p w14:paraId="689A5B20">
      <w:pPr>
        <w:pStyle w:val="13"/>
        <w:spacing w:before="120" w:beforeAutospacing="0" w:after="120" w:afterAutospacing="0" w:line="360" w:lineRule="auto"/>
        <w:jc w:val="both"/>
        <w:rPr>
          <w:rFonts w:hint="eastAsia" w:ascii="仿宋" w:hAnsi="仿宋" w:eastAsia="仿宋" w:cs="仿宋"/>
          <w:sz w:val="28"/>
          <w:szCs w:val="28"/>
        </w:rPr>
      </w:pPr>
      <w:r>
        <w:rPr>
          <w:rFonts w:hint="eastAsia" w:ascii="仿宋" w:hAnsi="仿宋" w:eastAsia="仿宋" w:cs="仿宋"/>
          <w:b/>
          <w:color w:val="000000"/>
          <w:sz w:val="28"/>
          <w:szCs w:val="28"/>
        </w:rPr>
        <w:t>十、项目验收</w:t>
      </w:r>
    </w:p>
    <w:p w14:paraId="21198836">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10.1甲方依法组织履约验收工作。</w:t>
      </w:r>
    </w:p>
    <w:p w14:paraId="4C8844CC">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12C0627">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10.3对于实际使用人和甲方分离的项目，甲方邀请实际使用人参与验收。</w:t>
      </w:r>
    </w:p>
    <w:p w14:paraId="38F966A0">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10.4如有必要，甲方邀请参加本项目的其他供应商或第三方专业机构及专家参与验收，相关意见将作为验收书的参考资料。</w:t>
      </w:r>
    </w:p>
    <w:p w14:paraId="05261F4A">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2203406">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6AD48D13">
      <w:pPr>
        <w:pStyle w:val="19"/>
        <w:numPr>
          <w:ilvl w:val="0"/>
          <w:numId w:val="2"/>
        </w:numPr>
        <w:spacing w:before="156" w:line="360" w:lineRule="auto"/>
        <w:ind w:firstLine="0"/>
        <w:rPr>
          <w:rFonts w:hint="eastAsia" w:ascii="仿宋" w:hAnsi="仿宋" w:eastAsia="仿宋" w:cs="仿宋"/>
          <w:b/>
          <w:color w:val="000000"/>
          <w:kern w:val="0"/>
          <w:sz w:val="28"/>
          <w:szCs w:val="28"/>
          <w:highlight w:val="none"/>
        </w:rPr>
      </w:pPr>
      <w:r>
        <w:rPr>
          <w:rFonts w:hint="eastAsia" w:ascii="仿宋" w:hAnsi="仿宋" w:eastAsia="仿宋" w:cs="仿宋"/>
          <w:b/>
          <w:color w:val="000000"/>
          <w:kern w:val="0"/>
          <w:sz w:val="28"/>
          <w:szCs w:val="28"/>
          <w:highlight w:val="none"/>
        </w:rPr>
        <w:t>物业管理考核办法</w:t>
      </w:r>
    </w:p>
    <w:p w14:paraId="15BA81C0">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详见附件1考核办法。</w:t>
      </w:r>
    </w:p>
    <w:p w14:paraId="41F6EF59">
      <w:pPr>
        <w:pStyle w:val="13"/>
        <w:spacing w:before="120" w:beforeAutospacing="0" w:after="120" w:afterAutospacing="0" w:line="360" w:lineRule="auto"/>
        <w:jc w:val="both"/>
        <w:rPr>
          <w:rFonts w:hint="eastAsia" w:ascii="仿宋" w:hAnsi="仿宋" w:eastAsia="仿宋" w:cs="仿宋"/>
          <w:sz w:val="28"/>
          <w:szCs w:val="28"/>
        </w:rPr>
      </w:pPr>
      <w:r>
        <w:rPr>
          <w:rFonts w:hint="eastAsia" w:ascii="仿宋" w:hAnsi="仿宋" w:eastAsia="仿宋" w:cs="仿宋"/>
          <w:b/>
          <w:color w:val="000000"/>
          <w:sz w:val="28"/>
          <w:szCs w:val="28"/>
        </w:rPr>
        <w:t>十二、违约责任</w:t>
      </w:r>
    </w:p>
    <w:p w14:paraId="71DBE1B6">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12.1甲方无正当理由拒绝接受乙方提供服务的，甲方向乙方偿付拒绝接受服务合同价款总值    的违约金。</w:t>
      </w:r>
    </w:p>
    <w:p w14:paraId="30E17E44">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12.2甲方无故逾期验收和办理合同款项支付手续的,甲方应按逾期付款总额</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lang w:val="en-US" w:eastAsia="zh-CN"/>
        </w:rPr>
        <w:t>每日向乙方支付违约金。</w:t>
      </w:r>
    </w:p>
    <w:p w14:paraId="1A10F858">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12.3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lang w:val="en-US" w:eastAsia="zh-CN"/>
        </w:rPr>
        <w:t xml:space="preserve">的违约金，如造成甲方损失超过违约金的，超出部分由乙方继续承担赔偿责任。 </w:t>
      </w:r>
    </w:p>
    <w:p w14:paraId="23E74878">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12.4乙方所提供服务的标准不符合合同规定及招标文件规定标准的，甲方有权拒绝接受服务，并可单方面解除合同。</w:t>
      </w:r>
    </w:p>
    <w:p w14:paraId="007BC25A">
      <w:pPr>
        <w:pStyle w:val="13"/>
        <w:spacing w:before="120" w:beforeAutospacing="0" w:after="120" w:afterAutospacing="0" w:line="360" w:lineRule="auto"/>
        <w:jc w:val="both"/>
        <w:rPr>
          <w:rFonts w:hint="eastAsia" w:ascii="仿宋" w:hAnsi="仿宋" w:eastAsia="仿宋" w:cs="仿宋"/>
          <w:sz w:val="28"/>
          <w:szCs w:val="28"/>
        </w:rPr>
      </w:pPr>
      <w:r>
        <w:rPr>
          <w:rFonts w:hint="eastAsia" w:ascii="仿宋" w:hAnsi="仿宋" w:eastAsia="仿宋" w:cs="仿宋"/>
          <w:b/>
          <w:color w:val="000000"/>
          <w:sz w:val="28"/>
          <w:szCs w:val="28"/>
        </w:rPr>
        <w:t>十三、不可抗力事件处理</w:t>
      </w:r>
    </w:p>
    <w:p w14:paraId="1D3724FC">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13.1在合同有效期内，任何一方因不可抗力事件导致不能履行合同，则合同履行期可延长，其延长期与不可抗力影响 期相同。</w:t>
      </w:r>
    </w:p>
    <w:p w14:paraId="32716C41">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13.2不可抗力事件发生后，应立即通知对方，并寄送有关权威机构出具的证明。</w:t>
      </w:r>
    </w:p>
    <w:p w14:paraId="6B03DA00">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13.3不可抗力事件延续120天以上，双方应通过友好协商，确定是否继续履行合同。</w:t>
      </w:r>
    </w:p>
    <w:p w14:paraId="2EC1E2C8">
      <w:pPr>
        <w:pStyle w:val="13"/>
        <w:spacing w:before="120" w:beforeAutospacing="0" w:after="120" w:afterAutospacing="0" w:line="360" w:lineRule="auto"/>
        <w:jc w:val="both"/>
        <w:rPr>
          <w:rFonts w:hint="eastAsia" w:ascii="仿宋" w:hAnsi="仿宋" w:eastAsia="仿宋" w:cs="仿宋"/>
          <w:sz w:val="28"/>
          <w:szCs w:val="28"/>
        </w:rPr>
      </w:pPr>
      <w:r>
        <w:rPr>
          <w:rFonts w:hint="eastAsia" w:ascii="仿宋" w:hAnsi="仿宋" w:eastAsia="仿宋" w:cs="仿宋"/>
          <w:b/>
          <w:color w:val="000000"/>
          <w:sz w:val="28"/>
          <w:szCs w:val="28"/>
        </w:rPr>
        <w:t>十四、解决争议的方法</w:t>
      </w:r>
    </w:p>
    <w:p w14:paraId="668998D4">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14.1双方在签订、履行合同中所发生的一切争议，应通过友好协商解决。如协商不成，由甲方住所地人民法院管辖。</w:t>
      </w:r>
    </w:p>
    <w:p w14:paraId="72DB5EF9">
      <w:pPr>
        <w:pStyle w:val="13"/>
        <w:spacing w:before="120" w:beforeAutospacing="0" w:after="120" w:afterAutospacing="0" w:line="360" w:lineRule="auto"/>
        <w:jc w:val="both"/>
        <w:rPr>
          <w:rFonts w:hint="eastAsia" w:ascii="仿宋" w:hAnsi="仿宋" w:eastAsia="仿宋" w:cs="仿宋"/>
          <w:sz w:val="28"/>
          <w:szCs w:val="28"/>
        </w:rPr>
      </w:pPr>
      <w:r>
        <w:rPr>
          <w:rFonts w:hint="eastAsia" w:ascii="仿宋" w:hAnsi="仿宋" w:eastAsia="仿宋" w:cs="仿宋"/>
          <w:b/>
          <w:color w:val="000000"/>
          <w:sz w:val="28"/>
          <w:szCs w:val="28"/>
        </w:rPr>
        <w:t>十五、合同生效及其它</w:t>
      </w:r>
    </w:p>
    <w:p w14:paraId="2D7CCD0E">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15.1合同经双方法定代表人或授权委托代表人签字并加盖单位公章后生效。</w:t>
      </w:r>
    </w:p>
    <w:p w14:paraId="63D22968">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15.2本合同未尽事宜，遵照《民法典》、《政府采购法》有关条文执行。</w:t>
      </w:r>
    </w:p>
    <w:p w14:paraId="0B869D5E">
      <w:pPr>
        <w:pStyle w:val="13"/>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15.3 本合同正本一式两份，具有同等法律效力，甲方、乙方各执一份。</w:t>
      </w:r>
    </w:p>
    <w:p w14:paraId="5A19AA90">
      <w:pPr>
        <w:pStyle w:val="13"/>
        <w:spacing w:before="120" w:beforeAutospacing="0" w:after="120" w:afterAutospacing="0" w:line="360" w:lineRule="auto"/>
        <w:ind w:left="480" w:hanging="480"/>
        <w:jc w:val="both"/>
        <w:rPr>
          <w:rFonts w:hint="eastAsia" w:ascii="仿宋" w:hAnsi="仿宋" w:eastAsia="仿宋" w:cs="仿宋"/>
          <w:sz w:val="28"/>
          <w:szCs w:val="28"/>
        </w:rPr>
      </w:pPr>
      <w:r>
        <w:rPr>
          <w:rFonts w:hint="eastAsia" w:ascii="仿宋" w:hAnsi="仿宋" w:eastAsia="仿宋" w:cs="仿宋"/>
          <w:color w:val="000000"/>
          <w:sz w:val="28"/>
          <w:szCs w:val="28"/>
        </w:rPr>
        <w:t>甲方：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乙方： </w:t>
      </w:r>
    </w:p>
    <w:p w14:paraId="714A7B17">
      <w:pPr>
        <w:pStyle w:val="13"/>
        <w:spacing w:before="120" w:beforeAutospacing="0" w:after="120" w:afterAutospacing="0" w:line="360" w:lineRule="auto"/>
        <w:jc w:val="both"/>
        <w:rPr>
          <w:rFonts w:hint="eastAsia" w:ascii="仿宋" w:hAnsi="仿宋" w:eastAsia="仿宋" w:cs="仿宋"/>
          <w:sz w:val="28"/>
          <w:szCs w:val="28"/>
        </w:rPr>
      </w:pPr>
      <w:r>
        <w:rPr>
          <w:rFonts w:hint="eastAsia" w:ascii="仿宋" w:hAnsi="仿宋" w:eastAsia="仿宋" w:cs="仿宋"/>
          <w:color w:val="000000"/>
          <w:sz w:val="28"/>
          <w:szCs w:val="28"/>
        </w:rPr>
        <w:t>地址：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地址： </w:t>
      </w:r>
    </w:p>
    <w:p w14:paraId="7E812BB8">
      <w:pPr>
        <w:pStyle w:val="13"/>
        <w:spacing w:before="120" w:beforeAutospacing="0" w:after="120" w:afterAutospacing="0" w:line="360" w:lineRule="auto"/>
        <w:jc w:val="both"/>
        <w:rPr>
          <w:rFonts w:hint="eastAsia" w:ascii="仿宋" w:hAnsi="仿宋" w:eastAsia="仿宋" w:cs="仿宋"/>
          <w:sz w:val="28"/>
          <w:szCs w:val="28"/>
        </w:rPr>
      </w:pPr>
      <w:r>
        <w:rPr>
          <w:rFonts w:hint="eastAsia" w:ascii="仿宋" w:hAnsi="仿宋" w:eastAsia="仿宋" w:cs="仿宋"/>
          <w:color w:val="000000"/>
          <w:sz w:val="28"/>
          <w:szCs w:val="28"/>
        </w:rPr>
        <w:t>法定代表人或授权代表：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法定代表人或授权代表：</w:t>
      </w:r>
    </w:p>
    <w:p w14:paraId="2D180239">
      <w:pPr>
        <w:pStyle w:val="13"/>
        <w:spacing w:before="120" w:beforeAutospacing="0" w:after="120" w:afterAutospacing="0" w:line="360" w:lineRule="auto"/>
        <w:jc w:val="both"/>
        <w:rPr>
          <w:rFonts w:hint="eastAsia" w:ascii="仿宋" w:hAnsi="仿宋" w:eastAsia="仿宋" w:cs="仿宋"/>
          <w:sz w:val="28"/>
          <w:szCs w:val="28"/>
        </w:rPr>
      </w:pPr>
      <w:r>
        <w:rPr>
          <w:rFonts w:hint="eastAsia" w:ascii="仿宋" w:hAnsi="仿宋" w:eastAsia="仿宋" w:cs="仿宋"/>
          <w:color w:val="000000"/>
          <w:sz w:val="28"/>
          <w:szCs w:val="28"/>
        </w:rPr>
        <w:t>联系电话：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联系电话：          </w:t>
      </w:r>
    </w:p>
    <w:p w14:paraId="59FF7F0E">
      <w:pPr>
        <w:pStyle w:val="13"/>
        <w:spacing w:before="120" w:beforeAutospacing="0" w:after="120" w:afterAutospacing="0" w:line="360" w:lineRule="auto"/>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p>
    <w:p w14:paraId="63B26898">
      <w:pPr>
        <w:pStyle w:val="13"/>
        <w:spacing w:before="120" w:beforeAutospacing="0" w:after="120" w:afterAutospacing="0" w:line="360" w:lineRule="auto"/>
        <w:jc w:val="right"/>
        <w:rPr>
          <w:rFonts w:hint="eastAsia" w:ascii="仿宋" w:hAnsi="仿宋" w:eastAsia="仿宋" w:cs="仿宋"/>
          <w:color w:val="000000"/>
          <w:sz w:val="28"/>
          <w:szCs w:val="28"/>
        </w:rPr>
      </w:pPr>
      <w:r>
        <w:rPr>
          <w:rFonts w:hint="eastAsia" w:ascii="仿宋" w:hAnsi="仿宋" w:eastAsia="仿宋" w:cs="仿宋"/>
          <w:color w:val="000000"/>
          <w:sz w:val="28"/>
          <w:szCs w:val="28"/>
        </w:rPr>
        <w:t>签订日期：      年    月   日</w:t>
      </w:r>
    </w:p>
    <w:p w14:paraId="6B2C5B37">
      <w:pPr>
        <w:rPr>
          <w:rFonts w:hint="eastAsia" w:ascii="仿宋" w:hAnsi="仿宋" w:eastAsia="仿宋" w:cs="仿宋"/>
          <w:color w:val="000000"/>
          <w:sz w:val="28"/>
          <w:szCs w:val="28"/>
        </w:rPr>
      </w:pPr>
      <w:r>
        <w:rPr>
          <w:rFonts w:hint="eastAsia" w:ascii="仿宋" w:hAnsi="仿宋" w:eastAsia="仿宋" w:cs="仿宋"/>
          <w:color w:val="000000"/>
          <w:sz w:val="28"/>
          <w:szCs w:val="28"/>
        </w:rPr>
        <w:br w:type="page"/>
      </w:r>
    </w:p>
    <w:p w14:paraId="5956155B">
      <w:pPr>
        <w:pStyle w:val="27"/>
        <w:keepNext w:val="0"/>
        <w:keepLines w:val="0"/>
        <w:pageBreakBefore w:val="0"/>
        <w:widowControl w:val="0"/>
        <w:kinsoku/>
        <w:wordWrap/>
        <w:overflowPunct/>
        <w:topLinePunct w:val="0"/>
        <w:autoSpaceDE/>
        <w:autoSpaceDN/>
        <w:bidi w:val="0"/>
        <w:adjustRightInd/>
        <w:snapToGrid w:val="0"/>
        <w:spacing w:before="181" w:beforeLines="50"/>
        <w:ind w:left="0" w:leftChars="0" w:firstLine="0" w:firstLineChars="0"/>
        <w:textAlignment w:val="auto"/>
        <w:rPr>
          <w:rFonts w:hint="eastAsia" w:ascii="仿宋" w:hAnsi="仿宋" w:eastAsia="仿宋" w:cs="仿宋"/>
          <w:sz w:val="28"/>
          <w:szCs w:val="28"/>
        </w:rPr>
      </w:pPr>
      <w:r>
        <w:rPr>
          <w:rFonts w:hint="eastAsia" w:ascii="仿宋" w:hAnsi="仿宋" w:eastAsia="仿宋" w:cs="仿宋"/>
          <w:color w:val="000000"/>
          <w:sz w:val="28"/>
          <w:szCs w:val="28"/>
        </w:rPr>
        <w:t>附件1：考核办法</w:t>
      </w:r>
    </w:p>
    <w:tbl>
      <w:tblPr>
        <w:tblStyle w:val="16"/>
        <w:tblW w:w="9758" w:type="dxa"/>
        <w:tblInd w:w="-578" w:type="dxa"/>
        <w:tblLayout w:type="fixed"/>
        <w:tblCellMar>
          <w:top w:w="0" w:type="dxa"/>
          <w:left w:w="108" w:type="dxa"/>
          <w:bottom w:w="0" w:type="dxa"/>
          <w:right w:w="108" w:type="dxa"/>
        </w:tblCellMar>
      </w:tblPr>
      <w:tblGrid>
        <w:gridCol w:w="1092"/>
        <w:gridCol w:w="2525"/>
        <w:gridCol w:w="1042"/>
        <w:gridCol w:w="833"/>
        <w:gridCol w:w="751"/>
        <w:gridCol w:w="2144"/>
        <w:gridCol w:w="1371"/>
      </w:tblGrid>
      <w:tr w14:paraId="68FB0DED">
        <w:tblPrEx>
          <w:tblCellMar>
            <w:top w:w="0" w:type="dxa"/>
            <w:left w:w="108" w:type="dxa"/>
            <w:bottom w:w="0" w:type="dxa"/>
            <w:right w:w="108" w:type="dxa"/>
          </w:tblCellMar>
        </w:tblPrEx>
        <w:trPr>
          <w:trHeight w:val="90" w:hRule="atLeast"/>
        </w:trPr>
        <w:tc>
          <w:tcPr>
            <w:tcW w:w="9758" w:type="dxa"/>
            <w:gridSpan w:val="7"/>
            <w:tcBorders>
              <w:top w:val="single" w:color="auto" w:sz="4" w:space="0"/>
              <w:left w:val="single" w:color="auto" w:sz="4" w:space="0"/>
              <w:bottom w:val="single" w:color="auto" w:sz="4" w:space="0"/>
              <w:right w:val="single" w:color="auto" w:sz="4" w:space="0"/>
            </w:tcBorders>
            <w:vAlign w:val="center"/>
          </w:tcPr>
          <w:p w14:paraId="3CFB0CE3">
            <w:pPr>
              <w:widowControl/>
              <w:ind w:firstLine="201"/>
              <w:jc w:val="lef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附件1-1：</w:t>
            </w:r>
          </w:p>
          <w:p w14:paraId="7CB15216">
            <w:pPr>
              <w:widowControl/>
              <w:ind w:firstLine="240"/>
              <w:jc w:val="center"/>
              <w:rPr>
                <w:rFonts w:hint="eastAsia" w:ascii="仿宋" w:hAnsi="仿宋" w:eastAsia="仿宋" w:cs="仿宋"/>
                <w:color w:val="000000"/>
                <w:sz w:val="28"/>
                <w:szCs w:val="28"/>
              </w:rPr>
            </w:pPr>
            <w:r>
              <w:rPr>
                <w:rFonts w:hint="eastAsia" w:ascii="仿宋" w:hAnsi="仿宋" w:eastAsia="仿宋" w:cs="仿宋"/>
                <w:color w:val="000000"/>
                <w:sz w:val="28"/>
                <w:szCs w:val="28"/>
              </w:rPr>
              <w:t>物业管理服务综合考核标准</w:t>
            </w:r>
          </w:p>
        </w:tc>
      </w:tr>
      <w:tr w14:paraId="7EA67562">
        <w:tblPrEx>
          <w:tblCellMar>
            <w:top w:w="0" w:type="dxa"/>
            <w:left w:w="108" w:type="dxa"/>
            <w:bottom w:w="0" w:type="dxa"/>
            <w:right w:w="108" w:type="dxa"/>
          </w:tblCellMar>
        </w:tblPrEx>
        <w:trPr>
          <w:trHeight w:val="472" w:hRule="atLeast"/>
        </w:trPr>
        <w:tc>
          <w:tcPr>
            <w:tcW w:w="1092" w:type="dxa"/>
            <w:tcBorders>
              <w:top w:val="single" w:color="auto" w:sz="4" w:space="0"/>
              <w:left w:val="single" w:color="auto" w:sz="4" w:space="0"/>
              <w:bottom w:val="single" w:color="auto" w:sz="4" w:space="0"/>
              <w:right w:val="single" w:color="auto" w:sz="4" w:space="0"/>
            </w:tcBorders>
            <w:vAlign w:val="center"/>
          </w:tcPr>
          <w:p w14:paraId="6FF65699">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项目</w:t>
            </w:r>
          </w:p>
        </w:tc>
        <w:tc>
          <w:tcPr>
            <w:tcW w:w="3567" w:type="dxa"/>
            <w:gridSpan w:val="2"/>
            <w:tcBorders>
              <w:top w:val="single" w:color="auto" w:sz="4" w:space="0"/>
              <w:left w:val="single" w:color="auto" w:sz="4" w:space="0"/>
              <w:bottom w:val="single" w:color="auto" w:sz="4" w:space="0"/>
              <w:right w:val="single" w:color="auto" w:sz="4" w:space="0"/>
            </w:tcBorders>
            <w:vAlign w:val="center"/>
          </w:tcPr>
          <w:p w14:paraId="2B7F432A">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标准要求</w:t>
            </w:r>
          </w:p>
        </w:tc>
        <w:tc>
          <w:tcPr>
            <w:tcW w:w="833" w:type="dxa"/>
            <w:tcBorders>
              <w:top w:val="single" w:color="auto" w:sz="4" w:space="0"/>
              <w:left w:val="single" w:color="auto" w:sz="4" w:space="0"/>
              <w:bottom w:val="single" w:color="auto" w:sz="4" w:space="0"/>
              <w:right w:val="single" w:color="auto" w:sz="4" w:space="0"/>
            </w:tcBorders>
            <w:vAlign w:val="center"/>
          </w:tcPr>
          <w:p w14:paraId="00DAF40D">
            <w:pPr>
              <w:widowControl/>
              <w:spacing w:line="2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扣分</w:t>
            </w:r>
          </w:p>
        </w:tc>
        <w:tc>
          <w:tcPr>
            <w:tcW w:w="751" w:type="dxa"/>
            <w:tcBorders>
              <w:top w:val="single" w:color="auto" w:sz="4" w:space="0"/>
              <w:left w:val="single" w:color="auto" w:sz="4" w:space="0"/>
              <w:bottom w:val="single" w:color="auto" w:sz="4" w:space="0"/>
              <w:right w:val="single" w:color="auto" w:sz="4" w:space="0"/>
            </w:tcBorders>
            <w:vAlign w:val="center"/>
          </w:tcPr>
          <w:p w14:paraId="288D3D5C">
            <w:pPr>
              <w:widowControl/>
              <w:spacing w:line="260" w:lineRule="exact"/>
              <w:jc w:val="both"/>
              <w:rPr>
                <w:rFonts w:hint="eastAsia" w:ascii="仿宋" w:hAnsi="仿宋" w:eastAsia="仿宋" w:cs="仿宋"/>
                <w:color w:val="000000"/>
                <w:sz w:val="28"/>
                <w:szCs w:val="28"/>
              </w:rPr>
            </w:pPr>
            <w:r>
              <w:rPr>
                <w:rFonts w:hint="eastAsia" w:ascii="仿宋" w:hAnsi="仿宋" w:eastAsia="仿宋" w:cs="仿宋"/>
                <w:color w:val="000000"/>
                <w:sz w:val="28"/>
                <w:szCs w:val="28"/>
              </w:rPr>
              <w:t>分值</w:t>
            </w:r>
          </w:p>
        </w:tc>
        <w:tc>
          <w:tcPr>
            <w:tcW w:w="2144" w:type="dxa"/>
            <w:tcBorders>
              <w:top w:val="single" w:color="auto" w:sz="4" w:space="0"/>
              <w:left w:val="single" w:color="auto" w:sz="4" w:space="0"/>
              <w:bottom w:val="single" w:color="auto" w:sz="4" w:space="0"/>
              <w:right w:val="single" w:color="auto" w:sz="4" w:space="0"/>
            </w:tcBorders>
            <w:vAlign w:val="center"/>
          </w:tcPr>
          <w:p w14:paraId="5B6E76AD">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扣分标准</w:t>
            </w:r>
          </w:p>
        </w:tc>
        <w:tc>
          <w:tcPr>
            <w:tcW w:w="1371" w:type="dxa"/>
            <w:tcBorders>
              <w:top w:val="single" w:color="auto" w:sz="4" w:space="0"/>
              <w:left w:val="single" w:color="auto" w:sz="4" w:space="0"/>
              <w:bottom w:val="single" w:color="auto" w:sz="4" w:space="0"/>
              <w:right w:val="single" w:color="auto" w:sz="4" w:space="0"/>
            </w:tcBorders>
            <w:vAlign w:val="center"/>
          </w:tcPr>
          <w:p w14:paraId="267171FE">
            <w:pPr>
              <w:widowControl/>
              <w:spacing w:line="260" w:lineRule="exact"/>
              <w:jc w:val="both"/>
              <w:rPr>
                <w:rFonts w:hint="eastAsia" w:ascii="仿宋" w:hAnsi="仿宋" w:eastAsia="仿宋" w:cs="仿宋"/>
                <w:color w:val="000000"/>
                <w:sz w:val="28"/>
                <w:szCs w:val="28"/>
              </w:rPr>
            </w:pPr>
            <w:r>
              <w:rPr>
                <w:rFonts w:hint="eastAsia" w:ascii="仿宋" w:hAnsi="仿宋" w:eastAsia="仿宋" w:cs="仿宋"/>
                <w:color w:val="000000"/>
                <w:sz w:val="28"/>
                <w:szCs w:val="28"/>
              </w:rPr>
              <w:t>得分（满分100分）</w:t>
            </w:r>
          </w:p>
        </w:tc>
      </w:tr>
      <w:tr w14:paraId="1D6DB681">
        <w:tblPrEx>
          <w:tblCellMar>
            <w:top w:w="0" w:type="dxa"/>
            <w:left w:w="108" w:type="dxa"/>
            <w:bottom w:w="0" w:type="dxa"/>
            <w:right w:w="108" w:type="dxa"/>
          </w:tblCellMar>
        </w:tblPrEx>
        <w:trPr>
          <w:trHeight w:val="255" w:hRule="atLeast"/>
        </w:trPr>
        <w:tc>
          <w:tcPr>
            <w:tcW w:w="1092" w:type="dxa"/>
            <w:tcBorders>
              <w:top w:val="single" w:color="auto" w:sz="4" w:space="0"/>
              <w:left w:val="single" w:color="auto" w:sz="4" w:space="0"/>
              <w:bottom w:val="single" w:color="auto" w:sz="4" w:space="0"/>
              <w:right w:val="single" w:color="auto" w:sz="4" w:space="0"/>
            </w:tcBorders>
            <w:vAlign w:val="center"/>
          </w:tcPr>
          <w:p w14:paraId="11CBC31E">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物业服务满意率</w:t>
            </w:r>
          </w:p>
        </w:tc>
        <w:tc>
          <w:tcPr>
            <w:tcW w:w="2525" w:type="dxa"/>
            <w:tcBorders>
              <w:top w:val="single" w:color="auto" w:sz="4" w:space="0"/>
              <w:left w:val="single" w:color="auto" w:sz="4" w:space="0"/>
              <w:bottom w:val="single" w:color="auto" w:sz="4" w:space="0"/>
              <w:right w:val="single" w:color="auto" w:sz="4" w:space="0"/>
            </w:tcBorders>
            <w:vAlign w:val="center"/>
          </w:tcPr>
          <w:p w14:paraId="1F2A8CC6">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物业工作各项指标服务满意的比率</w:t>
            </w:r>
          </w:p>
        </w:tc>
        <w:tc>
          <w:tcPr>
            <w:tcW w:w="1042" w:type="dxa"/>
            <w:tcBorders>
              <w:top w:val="single" w:color="auto" w:sz="4" w:space="0"/>
              <w:left w:val="single" w:color="auto" w:sz="4" w:space="0"/>
              <w:bottom w:val="single" w:color="auto" w:sz="4" w:space="0"/>
              <w:right w:val="single" w:color="auto" w:sz="4" w:space="0"/>
            </w:tcBorders>
            <w:vAlign w:val="center"/>
          </w:tcPr>
          <w:p w14:paraId="07DC6EF9">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≥95%</w:t>
            </w:r>
          </w:p>
        </w:tc>
        <w:tc>
          <w:tcPr>
            <w:tcW w:w="833" w:type="dxa"/>
            <w:tcBorders>
              <w:top w:val="single" w:color="auto" w:sz="4" w:space="0"/>
              <w:left w:val="single" w:color="auto" w:sz="4" w:space="0"/>
              <w:bottom w:val="single" w:color="auto" w:sz="4" w:space="0"/>
              <w:right w:val="single" w:color="auto" w:sz="4" w:space="0"/>
            </w:tcBorders>
            <w:vAlign w:val="center"/>
          </w:tcPr>
          <w:p w14:paraId="2F87F965">
            <w:pPr>
              <w:widowControl/>
              <w:spacing w:line="260" w:lineRule="exact"/>
              <w:ind w:firstLine="200"/>
              <w:jc w:val="center"/>
              <w:rPr>
                <w:rFonts w:hint="eastAsia" w:ascii="仿宋" w:hAnsi="仿宋" w:eastAsia="仿宋" w:cs="仿宋"/>
                <w:color w:val="000000"/>
                <w:sz w:val="28"/>
                <w:szCs w:val="28"/>
              </w:rPr>
            </w:pPr>
          </w:p>
        </w:tc>
        <w:tc>
          <w:tcPr>
            <w:tcW w:w="751" w:type="dxa"/>
            <w:tcBorders>
              <w:top w:val="single" w:color="auto" w:sz="4" w:space="0"/>
              <w:left w:val="single" w:color="auto" w:sz="4" w:space="0"/>
              <w:bottom w:val="single" w:color="auto" w:sz="4" w:space="0"/>
              <w:right w:val="single" w:color="auto" w:sz="4" w:space="0"/>
            </w:tcBorders>
            <w:vAlign w:val="center"/>
          </w:tcPr>
          <w:p w14:paraId="44DB2AEE">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15</w:t>
            </w:r>
          </w:p>
        </w:tc>
        <w:tc>
          <w:tcPr>
            <w:tcW w:w="2144" w:type="dxa"/>
            <w:tcBorders>
              <w:top w:val="single" w:color="auto" w:sz="4" w:space="0"/>
              <w:left w:val="single" w:color="auto" w:sz="4" w:space="0"/>
              <w:bottom w:val="single" w:color="auto" w:sz="4" w:space="0"/>
              <w:right w:val="single" w:color="auto" w:sz="4" w:space="0"/>
            </w:tcBorders>
            <w:vAlign w:val="center"/>
          </w:tcPr>
          <w:p w14:paraId="1E421D7D">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达不到本标准时每差一个百分点扣一分</w:t>
            </w:r>
          </w:p>
        </w:tc>
        <w:tc>
          <w:tcPr>
            <w:tcW w:w="1371" w:type="dxa"/>
            <w:tcBorders>
              <w:top w:val="single" w:color="auto" w:sz="4" w:space="0"/>
              <w:left w:val="single" w:color="auto" w:sz="4" w:space="0"/>
              <w:bottom w:val="single" w:color="auto" w:sz="4" w:space="0"/>
              <w:right w:val="single" w:color="auto" w:sz="4" w:space="0"/>
            </w:tcBorders>
            <w:vAlign w:val="center"/>
          </w:tcPr>
          <w:p w14:paraId="1B447C1F">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w:t>
            </w:r>
          </w:p>
        </w:tc>
      </w:tr>
      <w:tr w14:paraId="2337C683">
        <w:tblPrEx>
          <w:tblCellMar>
            <w:top w:w="0" w:type="dxa"/>
            <w:left w:w="108" w:type="dxa"/>
            <w:bottom w:w="0" w:type="dxa"/>
            <w:right w:w="108" w:type="dxa"/>
          </w:tblCellMar>
        </w:tblPrEx>
        <w:trPr>
          <w:trHeight w:val="696" w:hRule="atLeast"/>
        </w:trPr>
        <w:tc>
          <w:tcPr>
            <w:tcW w:w="1092" w:type="dxa"/>
            <w:tcBorders>
              <w:top w:val="single" w:color="auto" w:sz="4" w:space="0"/>
              <w:left w:val="single" w:color="auto" w:sz="4" w:space="0"/>
              <w:bottom w:val="single" w:color="auto" w:sz="4" w:space="0"/>
              <w:right w:val="single" w:color="auto" w:sz="4" w:space="0"/>
            </w:tcBorders>
            <w:vAlign w:val="center"/>
          </w:tcPr>
          <w:p w14:paraId="6364DDF7">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保洁率</w:t>
            </w:r>
          </w:p>
        </w:tc>
        <w:tc>
          <w:tcPr>
            <w:tcW w:w="2525" w:type="dxa"/>
            <w:tcBorders>
              <w:top w:val="single" w:color="auto" w:sz="4" w:space="0"/>
              <w:left w:val="single" w:color="auto" w:sz="4" w:space="0"/>
              <w:bottom w:val="single" w:color="auto" w:sz="4" w:space="0"/>
              <w:right w:val="single" w:color="auto" w:sz="4" w:space="0"/>
            </w:tcBorders>
            <w:vAlign w:val="center"/>
          </w:tcPr>
          <w:p w14:paraId="205950BF">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保洁人员按物业标准进行操作，主管监督检查得力</w:t>
            </w:r>
          </w:p>
        </w:tc>
        <w:tc>
          <w:tcPr>
            <w:tcW w:w="1042" w:type="dxa"/>
            <w:tcBorders>
              <w:top w:val="single" w:color="auto" w:sz="4" w:space="0"/>
              <w:left w:val="single" w:color="auto" w:sz="4" w:space="0"/>
              <w:bottom w:val="single" w:color="auto" w:sz="4" w:space="0"/>
              <w:right w:val="single" w:color="auto" w:sz="4" w:space="0"/>
            </w:tcBorders>
            <w:vAlign w:val="center"/>
          </w:tcPr>
          <w:p w14:paraId="1D93052A">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≥99%</w:t>
            </w:r>
          </w:p>
        </w:tc>
        <w:tc>
          <w:tcPr>
            <w:tcW w:w="833" w:type="dxa"/>
            <w:tcBorders>
              <w:top w:val="single" w:color="auto" w:sz="4" w:space="0"/>
              <w:left w:val="single" w:color="auto" w:sz="4" w:space="0"/>
              <w:bottom w:val="single" w:color="auto" w:sz="4" w:space="0"/>
              <w:right w:val="single" w:color="auto" w:sz="4" w:space="0"/>
            </w:tcBorders>
            <w:vAlign w:val="center"/>
          </w:tcPr>
          <w:p w14:paraId="6DF8C2BF">
            <w:pPr>
              <w:widowControl/>
              <w:spacing w:line="260" w:lineRule="exact"/>
              <w:ind w:firstLine="200"/>
              <w:jc w:val="center"/>
              <w:rPr>
                <w:rFonts w:hint="eastAsia" w:ascii="仿宋" w:hAnsi="仿宋" w:eastAsia="仿宋" w:cs="仿宋"/>
                <w:color w:val="000000"/>
                <w:sz w:val="28"/>
                <w:szCs w:val="28"/>
              </w:rPr>
            </w:pPr>
          </w:p>
        </w:tc>
        <w:tc>
          <w:tcPr>
            <w:tcW w:w="751" w:type="dxa"/>
            <w:tcBorders>
              <w:top w:val="single" w:color="auto" w:sz="4" w:space="0"/>
              <w:left w:val="single" w:color="auto" w:sz="4" w:space="0"/>
              <w:bottom w:val="single" w:color="auto" w:sz="4" w:space="0"/>
              <w:right w:val="single" w:color="auto" w:sz="4" w:space="0"/>
            </w:tcBorders>
            <w:vAlign w:val="center"/>
          </w:tcPr>
          <w:p w14:paraId="58BDF0E2">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5</w:t>
            </w:r>
          </w:p>
        </w:tc>
        <w:tc>
          <w:tcPr>
            <w:tcW w:w="2144" w:type="dxa"/>
            <w:tcBorders>
              <w:top w:val="single" w:color="auto" w:sz="4" w:space="0"/>
              <w:left w:val="single" w:color="auto" w:sz="4" w:space="0"/>
              <w:bottom w:val="single" w:color="auto" w:sz="4" w:space="0"/>
              <w:right w:val="single" w:color="auto" w:sz="4" w:space="0"/>
            </w:tcBorders>
            <w:vAlign w:val="center"/>
          </w:tcPr>
          <w:p w14:paraId="3858CC7A">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达不到本标准时每差一个百分点扣一分</w:t>
            </w:r>
          </w:p>
        </w:tc>
        <w:tc>
          <w:tcPr>
            <w:tcW w:w="1371" w:type="dxa"/>
            <w:tcBorders>
              <w:top w:val="single" w:color="auto" w:sz="4" w:space="0"/>
              <w:left w:val="single" w:color="auto" w:sz="4" w:space="0"/>
              <w:bottom w:val="single" w:color="auto" w:sz="4" w:space="0"/>
              <w:right w:val="single" w:color="auto" w:sz="4" w:space="0"/>
            </w:tcBorders>
            <w:vAlign w:val="center"/>
          </w:tcPr>
          <w:p w14:paraId="7F6B7044">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w:t>
            </w:r>
          </w:p>
        </w:tc>
      </w:tr>
      <w:tr w14:paraId="6E8C037F">
        <w:tblPrEx>
          <w:tblCellMar>
            <w:top w:w="0" w:type="dxa"/>
            <w:left w:w="108" w:type="dxa"/>
            <w:bottom w:w="0" w:type="dxa"/>
            <w:right w:w="108" w:type="dxa"/>
          </w:tblCellMar>
        </w:tblPrEx>
        <w:trPr>
          <w:trHeight w:val="848" w:hRule="atLeast"/>
        </w:trPr>
        <w:tc>
          <w:tcPr>
            <w:tcW w:w="1092" w:type="dxa"/>
            <w:tcBorders>
              <w:top w:val="single" w:color="auto" w:sz="4" w:space="0"/>
              <w:left w:val="single" w:color="auto" w:sz="4" w:space="0"/>
              <w:bottom w:val="single" w:color="auto" w:sz="4" w:space="0"/>
              <w:right w:val="single" w:color="auto" w:sz="4" w:space="0"/>
            </w:tcBorders>
            <w:vAlign w:val="center"/>
          </w:tcPr>
          <w:p w14:paraId="22045913">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物业突发事件处理率</w:t>
            </w:r>
          </w:p>
        </w:tc>
        <w:tc>
          <w:tcPr>
            <w:tcW w:w="2525" w:type="dxa"/>
            <w:tcBorders>
              <w:top w:val="single" w:color="auto" w:sz="4" w:space="0"/>
              <w:left w:val="single" w:color="auto" w:sz="4" w:space="0"/>
              <w:bottom w:val="single" w:color="auto" w:sz="4" w:space="0"/>
              <w:right w:val="single" w:color="auto" w:sz="4" w:space="0"/>
            </w:tcBorders>
            <w:vAlign w:val="center"/>
          </w:tcPr>
          <w:p w14:paraId="305D8EF9">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对有关物业突发事件如漏水、暴雨等处理比率</w:t>
            </w:r>
          </w:p>
        </w:tc>
        <w:tc>
          <w:tcPr>
            <w:tcW w:w="1042" w:type="dxa"/>
            <w:tcBorders>
              <w:top w:val="single" w:color="auto" w:sz="4" w:space="0"/>
              <w:left w:val="single" w:color="auto" w:sz="4" w:space="0"/>
              <w:bottom w:val="single" w:color="auto" w:sz="4" w:space="0"/>
              <w:right w:val="single" w:color="auto" w:sz="4" w:space="0"/>
            </w:tcBorders>
            <w:vAlign w:val="center"/>
          </w:tcPr>
          <w:p w14:paraId="2DCFECB9">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100%</w:t>
            </w:r>
          </w:p>
        </w:tc>
        <w:tc>
          <w:tcPr>
            <w:tcW w:w="833" w:type="dxa"/>
            <w:tcBorders>
              <w:top w:val="single" w:color="auto" w:sz="4" w:space="0"/>
              <w:left w:val="single" w:color="auto" w:sz="4" w:space="0"/>
              <w:bottom w:val="single" w:color="auto" w:sz="4" w:space="0"/>
              <w:right w:val="single" w:color="auto" w:sz="4" w:space="0"/>
            </w:tcBorders>
            <w:vAlign w:val="center"/>
          </w:tcPr>
          <w:p w14:paraId="63C01D34">
            <w:pPr>
              <w:widowControl/>
              <w:spacing w:line="260" w:lineRule="exact"/>
              <w:ind w:firstLine="200"/>
              <w:jc w:val="center"/>
              <w:rPr>
                <w:rFonts w:hint="eastAsia" w:ascii="仿宋" w:hAnsi="仿宋" w:eastAsia="仿宋" w:cs="仿宋"/>
                <w:color w:val="000000"/>
                <w:sz w:val="28"/>
                <w:szCs w:val="28"/>
              </w:rPr>
            </w:pPr>
          </w:p>
        </w:tc>
        <w:tc>
          <w:tcPr>
            <w:tcW w:w="751" w:type="dxa"/>
            <w:tcBorders>
              <w:top w:val="single" w:color="auto" w:sz="4" w:space="0"/>
              <w:left w:val="single" w:color="auto" w:sz="4" w:space="0"/>
              <w:bottom w:val="single" w:color="auto" w:sz="4" w:space="0"/>
              <w:right w:val="single" w:color="auto" w:sz="4" w:space="0"/>
            </w:tcBorders>
            <w:vAlign w:val="center"/>
          </w:tcPr>
          <w:p w14:paraId="3A4B85B2">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5</w:t>
            </w:r>
          </w:p>
        </w:tc>
        <w:tc>
          <w:tcPr>
            <w:tcW w:w="2144" w:type="dxa"/>
            <w:tcBorders>
              <w:top w:val="single" w:color="auto" w:sz="4" w:space="0"/>
              <w:left w:val="single" w:color="auto" w:sz="4" w:space="0"/>
              <w:bottom w:val="single" w:color="auto" w:sz="4" w:space="0"/>
              <w:right w:val="single" w:color="auto" w:sz="4" w:space="0"/>
            </w:tcBorders>
            <w:vAlign w:val="center"/>
          </w:tcPr>
          <w:p w14:paraId="4A6794FB">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达不到本标准时每差一个百分点扣一分</w:t>
            </w:r>
          </w:p>
        </w:tc>
        <w:tc>
          <w:tcPr>
            <w:tcW w:w="1371" w:type="dxa"/>
            <w:tcBorders>
              <w:top w:val="single" w:color="auto" w:sz="4" w:space="0"/>
              <w:left w:val="single" w:color="auto" w:sz="4" w:space="0"/>
              <w:bottom w:val="single" w:color="auto" w:sz="4" w:space="0"/>
              <w:right w:val="single" w:color="auto" w:sz="4" w:space="0"/>
            </w:tcBorders>
            <w:vAlign w:val="center"/>
          </w:tcPr>
          <w:p w14:paraId="3FF83E8B">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w:t>
            </w:r>
          </w:p>
        </w:tc>
      </w:tr>
      <w:tr w14:paraId="6A40F913">
        <w:tblPrEx>
          <w:tblCellMar>
            <w:top w:w="0" w:type="dxa"/>
            <w:left w:w="108" w:type="dxa"/>
            <w:bottom w:w="0" w:type="dxa"/>
            <w:right w:w="108" w:type="dxa"/>
          </w:tblCellMar>
        </w:tblPrEx>
        <w:trPr>
          <w:trHeight w:val="690" w:hRule="atLeast"/>
        </w:trPr>
        <w:tc>
          <w:tcPr>
            <w:tcW w:w="1092" w:type="dxa"/>
            <w:tcBorders>
              <w:top w:val="single" w:color="auto" w:sz="4" w:space="0"/>
              <w:left w:val="single" w:color="auto" w:sz="4" w:space="0"/>
              <w:bottom w:val="single" w:color="auto" w:sz="4" w:space="0"/>
              <w:right w:val="single" w:color="auto" w:sz="4" w:space="0"/>
            </w:tcBorders>
            <w:vAlign w:val="center"/>
          </w:tcPr>
          <w:p w14:paraId="3C8CD0C7">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顾客满意率</w:t>
            </w:r>
          </w:p>
        </w:tc>
        <w:tc>
          <w:tcPr>
            <w:tcW w:w="2525" w:type="dxa"/>
            <w:tcBorders>
              <w:top w:val="single" w:color="auto" w:sz="4" w:space="0"/>
              <w:left w:val="single" w:color="auto" w:sz="4" w:space="0"/>
              <w:bottom w:val="single" w:color="auto" w:sz="4" w:space="0"/>
              <w:right w:val="single" w:color="auto" w:sz="4" w:space="0"/>
            </w:tcBorders>
            <w:vAlign w:val="center"/>
          </w:tcPr>
          <w:p w14:paraId="0B53EAD4">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顾客对物业服务的综合评定达到合格的比率</w:t>
            </w:r>
          </w:p>
        </w:tc>
        <w:tc>
          <w:tcPr>
            <w:tcW w:w="1042" w:type="dxa"/>
            <w:tcBorders>
              <w:top w:val="single" w:color="auto" w:sz="4" w:space="0"/>
              <w:left w:val="single" w:color="auto" w:sz="4" w:space="0"/>
              <w:bottom w:val="single" w:color="auto" w:sz="4" w:space="0"/>
              <w:right w:val="single" w:color="auto" w:sz="4" w:space="0"/>
            </w:tcBorders>
            <w:vAlign w:val="center"/>
          </w:tcPr>
          <w:p w14:paraId="24B9FC93">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≥90%</w:t>
            </w:r>
          </w:p>
        </w:tc>
        <w:tc>
          <w:tcPr>
            <w:tcW w:w="833" w:type="dxa"/>
            <w:tcBorders>
              <w:top w:val="single" w:color="auto" w:sz="4" w:space="0"/>
              <w:left w:val="single" w:color="auto" w:sz="4" w:space="0"/>
              <w:bottom w:val="single" w:color="auto" w:sz="4" w:space="0"/>
              <w:right w:val="single" w:color="auto" w:sz="4" w:space="0"/>
            </w:tcBorders>
            <w:vAlign w:val="center"/>
          </w:tcPr>
          <w:p w14:paraId="2C73B0E8">
            <w:pPr>
              <w:widowControl/>
              <w:spacing w:line="260" w:lineRule="exact"/>
              <w:ind w:firstLine="200"/>
              <w:jc w:val="center"/>
              <w:rPr>
                <w:rFonts w:hint="eastAsia" w:ascii="仿宋" w:hAnsi="仿宋" w:eastAsia="仿宋" w:cs="仿宋"/>
                <w:color w:val="000000"/>
                <w:sz w:val="28"/>
                <w:szCs w:val="28"/>
              </w:rPr>
            </w:pPr>
          </w:p>
        </w:tc>
        <w:tc>
          <w:tcPr>
            <w:tcW w:w="751" w:type="dxa"/>
            <w:tcBorders>
              <w:top w:val="single" w:color="auto" w:sz="4" w:space="0"/>
              <w:left w:val="single" w:color="auto" w:sz="4" w:space="0"/>
              <w:bottom w:val="single" w:color="auto" w:sz="4" w:space="0"/>
              <w:right w:val="single" w:color="auto" w:sz="4" w:space="0"/>
            </w:tcBorders>
            <w:vAlign w:val="center"/>
          </w:tcPr>
          <w:p w14:paraId="7E2CCA46">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5</w:t>
            </w:r>
          </w:p>
        </w:tc>
        <w:tc>
          <w:tcPr>
            <w:tcW w:w="2144" w:type="dxa"/>
            <w:tcBorders>
              <w:top w:val="single" w:color="auto" w:sz="4" w:space="0"/>
              <w:left w:val="single" w:color="auto" w:sz="4" w:space="0"/>
              <w:bottom w:val="single" w:color="auto" w:sz="4" w:space="0"/>
              <w:right w:val="single" w:color="auto" w:sz="4" w:space="0"/>
            </w:tcBorders>
            <w:vAlign w:val="center"/>
          </w:tcPr>
          <w:p w14:paraId="7AEAFB54">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达不到本标准时每差一个百分点扣一分</w:t>
            </w:r>
          </w:p>
        </w:tc>
        <w:tc>
          <w:tcPr>
            <w:tcW w:w="1371" w:type="dxa"/>
            <w:tcBorders>
              <w:top w:val="single" w:color="auto" w:sz="4" w:space="0"/>
              <w:left w:val="single" w:color="auto" w:sz="4" w:space="0"/>
              <w:bottom w:val="single" w:color="auto" w:sz="4" w:space="0"/>
              <w:right w:val="single" w:color="auto" w:sz="4" w:space="0"/>
            </w:tcBorders>
            <w:vAlign w:val="center"/>
          </w:tcPr>
          <w:p w14:paraId="3CCC05B6">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w:t>
            </w:r>
          </w:p>
        </w:tc>
      </w:tr>
      <w:tr w14:paraId="504DFB8F">
        <w:tblPrEx>
          <w:tblCellMar>
            <w:top w:w="0" w:type="dxa"/>
            <w:left w:w="108" w:type="dxa"/>
            <w:bottom w:w="0" w:type="dxa"/>
            <w:right w:w="108" w:type="dxa"/>
          </w:tblCellMar>
        </w:tblPrEx>
        <w:trPr>
          <w:trHeight w:val="700" w:hRule="atLeast"/>
        </w:trPr>
        <w:tc>
          <w:tcPr>
            <w:tcW w:w="1092" w:type="dxa"/>
            <w:tcBorders>
              <w:top w:val="single" w:color="auto" w:sz="4" w:space="0"/>
              <w:left w:val="single" w:color="auto" w:sz="4" w:space="0"/>
              <w:bottom w:val="single" w:color="auto" w:sz="4" w:space="0"/>
              <w:right w:val="single" w:color="auto" w:sz="4" w:space="0"/>
            </w:tcBorders>
            <w:vAlign w:val="center"/>
          </w:tcPr>
          <w:p w14:paraId="11A4CACA">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每月差错次数</w:t>
            </w:r>
          </w:p>
        </w:tc>
        <w:tc>
          <w:tcPr>
            <w:tcW w:w="2525" w:type="dxa"/>
            <w:tcBorders>
              <w:top w:val="single" w:color="auto" w:sz="4" w:space="0"/>
              <w:left w:val="single" w:color="auto" w:sz="4" w:space="0"/>
              <w:bottom w:val="single" w:color="auto" w:sz="4" w:space="0"/>
              <w:right w:val="single" w:color="auto" w:sz="4" w:space="0"/>
            </w:tcBorders>
            <w:vAlign w:val="center"/>
          </w:tcPr>
          <w:p w14:paraId="7E4A3D85">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在符合合同的范围内出现的工作失误</w:t>
            </w:r>
          </w:p>
        </w:tc>
        <w:tc>
          <w:tcPr>
            <w:tcW w:w="1042" w:type="dxa"/>
            <w:tcBorders>
              <w:top w:val="single" w:color="auto" w:sz="4" w:space="0"/>
              <w:left w:val="single" w:color="auto" w:sz="4" w:space="0"/>
              <w:bottom w:val="single" w:color="auto" w:sz="4" w:space="0"/>
              <w:right w:val="single" w:color="auto" w:sz="4" w:space="0"/>
            </w:tcBorders>
            <w:vAlign w:val="center"/>
          </w:tcPr>
          <w:p w14:paraId="3EDB0A58">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≤5次</w:t>
            </w:r>
          </w:p>
        </w:tc>
        <w:tc>
          <w:tcPr>
            <w:tcW w:w="833" w:type="dxa"/>
            <w:tcBorders>
              <w:top w:val="single" w:color="auto" w:sz="4" w:space="0"/>
              <w:left w:val="single" w:color="auto" w:sz="4" w:space="0"/>
              <w:bottom w:val="single" w:color="auto" w:sz="4" w:space="0"/>
              <w:right w:val="single" w:color="auto" w:sz="4" w:space="0"/>
            </w:tcBorders>
            <w:vAlign w:val="center"/>
          </w:tcPr>
          <w:p w14:paraId="23C966E8">
            <w:pPr>
              <w:widowControl/>
              <w:spacing w:line="260" w:lineRule="exact"/>
              <w:ind w:firstLine="200"/>
              <w:jc w:val="center"/>
              <w:rPr>
                <w:rFonts w:hint="eastAsia" w:ascii="仿宋" w:hAnsi="仿宋" w:eastAsia="仿宋" w:cs="仿宋"/>
                <w:color w:val="000000"/>
                <w:sz w:val="28"/>
                <w:szCs w:val="28"/>
              </w:rPr>
            </w:pPr>
          </w:p>
        </w:tc>
        <w:tc>
          <w:tcPr>
            <w:tcW w:w="751" w:type="dxa"/>
            <w:tcBorders>
              <w:top w:val="single" w:color="auto" w:sz="4" w:space="0"/>
              <w:left w:val="single" w:color="auto" w:sz="4" w:space="0"/>
              <w:bottom w:val="single" w:color="auto" w:sz="4" w:space="0"/>
              <w:right w:val="single" w:color="auto" w:sz="4" w:space="0"/>
            </w:tcBorders>
            <w:vAlign w:val="center"/>
          </w:tcPr>
          <w:p w14:paraId="00249741">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5</w:t>
            </w:r>
          </w:p>
        </w:tc>
        <w:tc>
          <w:tcPr>
            <w:tcW w:w="2144" w:type="dxa"/>
            <w:tcBorders>
              <w:top w:val="single" w:color="auto" w:sz="4" w:space="0"/>
              <w:left w:val="single" w:color="auto" w:sz="4" w:space="0"/>
              <w:bottom w:val="single" w:color="auto" w:sz="4" w:space="0"/>
              <w:right w:val="single" w:color="auto" w:sz="4" w:space="0"/>
            </w:tcBorders>
            <w:vAlign w:val="center"/>
          </w:tcPr>
          <w:p w14:paraId="7A21BD38">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达不到本标准时每差一个百分点扣一分</w:t>
            </w:r>
          </w:p>
        </w:tc>
        <w:tc>
          <w:tcPr>
            <w:tcW w:w="1371" w:type="dxa"/>
            <w:tcBorders>
              <w:top w:val="single" w:color="auto" w:sz="4" w:space="0"/>
              <w:left w:val="single" w:color="auto" w:sz="4" w:space="0"/>
              <w:bottom w:val="single" w:color="auto" w:sz="4" w:space="0"/>
              <w:right w:val="single" w:color="auto" w:sz="4" w:space="0"/>
            </w:tcBorders>
            <w:vAlign w:val="center"/>
          </w:tcPr>
          <w:p w14:paraId="73474B1B">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w:t>
            </w:r>
          </w:p>
        </w:tc>
      </w:tr>
      <w:tr w14:paraId="47627B78">
        <w:tblPrEx>
          <w:tblCellMar>
            <w:top w:w="0" w:type="dxa"/>
            <w:left w:w="108" w:type="dxa"/>
            <w:bottom w:w="0" w:type="dxa"/>
            <w:right w:w="108" w:type="dxa"/>
          </w:tblCellMar>
        </w:tblPrEx>
        <w:trPr>
          <w:trHeight w:val="710" w:hRule="atLeast"/>
        </w:trPr>
        <w:tc>
          <w:tcPr>
            <w:tcW w:w="1092" w:type="dxa"/>
            <w:tcBorders>
              <w:top w:val="single" w:color="auto" w:sz="4" w:space="0"/>
              <w:left w:val="single" w:color="auto" w:sz="4" w:space="0"/>
              <w:bottom w:val="single" w:color="auto" w:sz="4" w:space="0"/>
              <w:right w:val="single" w:color="auto" w:sz="4" w:space="0"/>
            </w:tcBorders>
            <w:vAlign w:val="center"/>
          </w:tcPr>
          <w:p w14:paraId="47BCAACE">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有效投诉率</w:t>
            </w:r>
          </w:p>
        </w:tc>
        <w:tc>
          <w:tcPr>
            <w:tcW w:w="2525" w:type="dxa"/>
            <w:tcBorders>
              <w:top w:val="single" w:color="auto" w:sz="4" w:space="0"/>
              <w:left w:val="single" w:color="auto" w:sz="4" w:space="0"/>
              <w:bottom w:val="single" w:color="auto" w:sz="4" w:space="0"/>
              <w:right w:val="single" w:color="auto" w:sz="4" w:space="0"/>
            </w:tcBorders>
            <w:vAlign w:val="center"/>
          </w:tcPr>
          <w:p w14:paraId="4F769CF0">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收到病人或医护人员在符合合同范围内的各类投诉的比率</w:t>
            </w:r>
          </w:p>
        </w:tc>
        <w:tc>
          <w:tcPr>
            <w:tcW w:w="1042" w:type="dxa"/>
            <w:tcBorders>
              <w:top w:val="single" w:color="auto" w:sz="4" w:space="0"/>
              <w:left w:val="single" w:color="auto" w:sz="4" w:space="0"/>
              <w:bottom w:val="single" w:color="auto" w:sz="4" w:space="0"/>
              <w:right w:val="single" w:color="auto" w:sz="4" w:space="0"/>
            </w:tcBorders>
            <w:vAlign w:val="center"/>
          </w:tcPr>
          <w:p w14:paraId="3C740815">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≤5%</w:t>
            </w:r>
          </w:p>
        </w:tc>
        <w:tc>
          <w:tcPr>
            <w:tcW w:w="833" w:type="dxa"/>
            <w:tcBorders>
              <w:top w:val="single" w:color="auto" w:sz="4" w:space="0"/>
              <w:left w:val="single" w:color="auto" w:sz="4" w:space="0"/>
              <w:bottom w:val="single" w:color="auto" w:sz="4" w:space="0"/>
              <w:right w:val="single" w:color="auto" w:sz="4" w:space="0"/>
            </w:tcBorders>
            <w:vAlign w:val="center"/>
          </w:tcPr>
          <w:p w14:paraId="549105BB">
            <w:pPr>
              <w:widowControl/>
              <w:spacing w:line="260" w:lineRule="exact"/>
              <w:ind w:firstLine="200"/>
              <w:jc w:val="center"/>
              <w:rPr>
                <w:rFonts w:hint="eastAsia" w:ascii="仿宋" w:hAnsi="仿宋" w:eastAsia="仿宋" w:cs="仿宋"/>
                <w:color w:val="000000"/>
                <w:sz w:val="28"/>
                <w:szCs w:val="28"/>
              </w:rPr>
            </w:pPr>
          </w:p>
        </w:tc>
        <w:tc>
          <w:tcPr>
            <w:tcW w:w="751" w:type="dxa"/>
            <w:tcBorders>
              <w:top w:val="single" w:color="auto" w:sz="4" w:space="0"/>
              <w:left w:val="single" w:color="auto" w:sz="4" w:space="0"/>
              <w:bottom w:val="single" w:color="auto" w:sz="4" w:space="0"/>
              <w:right w:val="single" w:color="auto" w:sz="4" w:space="0"/>
            </w:tcBorders>
            <w:vAlign w:val="center"/>
          </w:tcPr>
          <w:p w14:paraId="52203302">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5</w:t>
            </w:r>
          </w:p>
        </w:tc>
        <w:tc>
          <w:tcPr>
            <w:tcW w:w="2144" w:type="dxa"/>
            <w:tcBorders>
              <w:top w:val="single" w:color="auto" w:sz="4" w:space="0"/>
              <w:left w:val="single" w:color="auto" w:sz="4" w:space="0"/>
              <w:bottom w:val="single" w:color="auto" w:sz="4" w:space="0"/>
              <w:right w:val="single" w:color="auto" w:sz="4" w:space="0"/>
            </w:tcBorders>
            <w:vAlign w:val="center"/>
          </w:tcPr>
          <w:p w14:paraId="6FE82DC0">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达不到本标准时每差一个百分点扣一分</w:t>
            </w:r>
          </w:p>
        </w:tc>
        <w:tc>
          <w:tcPr>
            <w:tcW w:w="1371" w:type="dxa"/>
            <w:tcBorders>
              <w:top w:val="single" w:color="auto" w:sz="4" w:space="0"/>
              <w:left w:val="single" w:color="auto" w:sz="4" w:space="0"/>
              <w:bottom w:val="single" w:color="auto" w:sz="4" w:space="0"/>
              <w:right w:val="single" w:color="auto" w:sz="4" w:space="0"/>
            </w:tcBorders>
            <w:vAlign w:val="center"/>
          </w:tcPr>
          <w:p w14:paraId="3CC24482">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w:t>
            </w:r>
          </w:p>
        </w:tc>
      </w:tr>
      <w:tr w14:paraId="049366D5">
        <w:tblPrEx>
          <w:tblCellMar>
            <w:top w:w="0" w:type="dxa"/>
            <w:left w:w="108" w:type="dxa"/>
            <w:bottom w:w="0" w:type="dxa"/>
            <w:right w:w="108" w:type="dxa"/>
          </w:tblCellMar>
        </w:tblPrEx>
        <w:trPr>
          <w:trHeight w:val="472" w:hRule="atLeast"/>
        </w:trPr>
        <w:tc>
          <w:tcPr>
            <w:tcW w:w="1092" w:type="dxa"/>
            <w:tcBorders>
              <w:top w:val="single" w:color="auto" w:sz="4" w:space="0"/>
              <w:left w:val="single" w:color="auto" w:sz="4" w:space="0"/>
              <w:bottom w:val="single" w:color="auto" w:sz="4" w:space="0"/>
              <w:right w:val="single" w:color="auto" w:sz="4" w:space="0"/>
            </w:tcBorders>
            <w:vAlign w:val="center"/>
          </w:tcPr>
          <w:p w14:paraId="28F33330">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有效服务提供率</w:t>
            </w:r>
          </w:p>
        </w:tc>
        <w:tc>
          <w:tcPr>
            <w:tcW w:w="2525" w:type="dxa"/>
            <w:tcBorders>
              <w:top w:val="single" w:color="auto" w:sz="4" w:space="0"/>
              <w:left w:val="single" w:color="auto" w:sz="4" w:space="0"/>
              <w:bottom w:val="single" w:color="auto" w:sz="4" w:space="0"/>
              <w:right w:val="single" w:color="auto" w:sz="4" w:space="0"/>
            </w:tcBorders>
            <w:vAlign w:val="center"/>
          </w:tcPr>
          <w:p w14:paraId="038796A1">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在符合采购人规定前提下，满足服务要求的比率</w:t>
            </w:r>
          </w:p>
        </w:tc>
        <w:tc>
          <w:tcPr>
            <w:tcW w:w="1042" w:type="dxa"/>
            <w:tcBorders>
              <w:top w:val="single" w:color="auto" w:sz="4" w:space="0"/>
              <w:left w:val="single" w:color="auto" w:sz="4" w:space="0"/>
              <w:bottom w:val="single" w:color="auto" w:sz="4" w:space="0"/>
              <w:right w:val="single" w:color="auto" w:sz="4" w:space="0"/>
            </w:tcBorders>
            <w:vAlign w:val="center"/>
          </w:tcPr>
          <w:p w14:paraId="11E8A1F2">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100%</w:t>
            </w:r>
          </w:p>
        </w:tc>
        <w:tc>
          <w:tcPr>
            <w:tcW w:w="833" w:type="dxa"/>
            <w:tcBorders>
              <w:top w:val="single" w:color="auto" w:sz="4" w:space="0"/>
              <w:left w:val="single" w:color="auto" w:sz="4" w:space="0"/>
              <w:bottom w:val="single" w:color="auto" w:sz="4" w:space="0"/>
              <w:right w:val="single" w:color="auto" w:sz="4" w:space="0"/>
            </w:tcBorders>
            <w:vAlign w:val="center"/>
          </w:tcPr>
          <w:p w14:paraId="636CC105">
            <w:pPr>
              <w:widowControl/>
              <w:spacing w:line="260" w:lineRule="exact"/>
              <w:ind w:firstLine="200"/>
              <w:jc w:val="center"/>
              <w:rPr>
                <w:rFonts w:hint="eastAsia" w:ascii="仿宋" w:hAnsi="仿宋" w:eastAsia="仿宋" w:cs="仿宋"/>
                <w:color w:val="000000"/>
                <w:sz w:val="28"/>
                <w:szCs w:val="28"/>
              </w:rPr>
            </w:pPr>
          </w:p>
        </w:tc>
        <w:tc>
          <w:tcPr>
            <w:tcW w:w="751" w:type="dxa"/>
            <w:tcBorders>
              <w:top w:val="single" w:color="auto" w:sz="4" w:space="0"/>
              <w:left w:val="single" w:color="auto" w:sz="4" w:space="0"/>
              <w:bottom w:val="single" w:color="auto" w:sz="4" w:space="0"/>
              <w:right w:val="single" w:color="auto" w:sz="4" w:space="0"/>
            </w:tcBorders>
            <w:vAlign w:val="center"/>
          </w:tcPr>
          <w:p w14:paraId="1CE2243F">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5</w:t>
            </w:r>
          </w:p>
        </w:tc>
        <w:tc>
          <w:tcPr>
            <w:tcW w:w="2144" w:type="dxa"/>
            <w:tcBorders>
              <w:top w:val="single" w:color="auto" w:sz="4" w:space="0"/>
              <w:left w:val="single" w:color="auto" w:sz="4" w:space="0"/>
              <w:bottom w:val="single" w:color="auto" w:sz="4" w:space="0"/>
              <w:right w:val="single" w:color="auto" w:sz="4" w:space="0"/>
            </w:tcBorders>
            <w:vAlign w:val="center"/>
          </w:tcPr>
          <w:p w14:paraId="45679815">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达不到本标准时每差一个百分点扣一分</w:t>
            </w:r>
          </w:p>
        </w:tc>
        <w:tc>
          <w:tcPr>
            <w:tcW w:w="1371" w:type="dxa"/>
            <w:tcBorders>
              <w:top w:val="single" w:color="auto" w:sz="4" w:space="0"/>
              <w:left w:val="single" w:color="auto" w:sz="4" w:space="0"/>
              <w:bottom w:val="single" w:color="auto" w:sz="4" w:space="0"/>
              <w:right w:val="single" w:color="auto" w:sz="4" w:space="0"/>
            </w:tcBorders>
            <w:vAlign w:val="center"/>
          </w:tcPr>
          <w:p w14:paraId="53562ACF">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w:t>
            </w:r>
          </w:p>
        </w:tc>
      </w:tr>
      <w:tr w14:paraId="4C796F0D">
        <w:tblPrEx>
          <w:tblCellMar>
            <w:top w:w="0" w:type="dxa"/>
            <w:left w:w="108" w:type="dxa"/>
            <w:bottom w:w="0" w:type="dxa"/>
            <w:right w:w="108" w:type="dxa"/>
          </w:tblCellMar>
        </w:tblPrEx>
        <w:trPr>
          <w:trHeight w:val="630" w:hRule="atLeast"/>
        </w:trPr>
        <w:tc>
          <w:tcPr>
            <w:tcW w:w="1092" w:type="dxa"/>
            <w:tcBorders>
              <w:top w:val="single" w:color="auto" w:sz="4" w:space="0"/>
              <w:left w:val="single" w:color="auto" w:sz="4" w:space="0"/>
              <w:bottom w:val="single" w:color="auto" w:sz="4" w:space="0"/>
              <w:right w:val="single" w:color="auto" w:sz="4" w:space="0"/>
            </w:tcBorders>
            <w:vAlign w:val="center"/>
          </w:tcPr>
          <w:p w14:paraId="665716EF">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服务响应时间</w:t>
            </w:r>
          </w:p>
        </w:tc>
        <w:tc>
          <w:tcPr>
            <w:tcW w:w="2525" w:type="dxa"/>
            <w:tcBorders>
              <w:top w:val="single" w:color="auto" w:sz="4" w:space="0"/>
              <w:left w:val="single" w:color="auto" w:sz="4" w:space="0"/>
              <w:bottom w:val="single" w:color="auto" w:sz="4" w:space="0"/>
              <w:right w:val="single" w:color="auto" w:sz="4" w:space="0"/>
            </w:tcBorders>
            <w:vAlign w:val="center"/>
          </w:tcPr>
          <w:p w14:paraId="778699DD">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从接到服务指令到提供服务的时间</w:t>
            </w:r>
          </w:p>
        </w:tc>
        <w:tc>
          <w:tcPr>
            <w:tcW w:w="1042" w:type="dxa"/>
            <w:tcBorders>
              <w:top w:val="single" w:color="auto" w:sz="4" w:space="0"/>
              <w:left w:val="single" w:color="auto" w:sz="4" w:space="0"/>
              <w:bottom w:val="single" w:color="auto" w:sz="4" w:space="0"/>
              <w:right w:val="single" w:color="auto" w:sz="4" w:space="0"/>
            </w:tcBorders>
            <w:vAlign w:val="center"/>
          </w:tcPr>
          <w:p w14:paraId="403A0383">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15分钟</w:t>
            </w:r>
          </w:p>
        </w:tc>
        <w:tc>
          <w:tcPr>
            <w:tcW w:w="833" w:type="dxa"/>
            <w:tcBorders>
              <w:top w:val="single" w:color="auto" w:sz="4" w:space="0"/>
              <w:left w:val="single" w:color="auto" w:sz="4" w:space="0"/>
              <w:bottom w:val="single" w:color="auto" w:sz="4" w:space="0"/>
              <w:right w:val="single" w:color="auto" w:sz="4" w:space="0"/>
            </w:tcBorders>
            <w:vAlign w:val="center"/>
          </w:tcPr>
          <w:p w14:paraId="438564FC">
            <w:pPr>
              <w:widowControl/>
              <w:spacing w:line="260" w:lineRule="exact"/>
              <w:ind w:firstLine="200"/>
              <w:jc w:val="center"/>
              <w:rPr>
                <w:rFonts w:hint="eastAsia" w:ascii="仿宋" w:hAnsi="仿宋" w:eastAsia="仿宋" w:cs="仿宋"/>
                <w:color w:val="000000"/>
                <w:sz w:val="28"/>
                <w:szCs w:val="28"/>
              </w:rPr>
            </w:pPr>
          </w:p>
        </w:tc>
        <w:tc>
          <w:tcPr>
            <w:tcW w:w="751" w:type="dxa"/>
            <w:tcBorders>
              <w:top w:val="single" w:color="auto" w:sz="4" w:space="0"/>
              <w:left w:val="single" w:color="auto" w:sz="4" w:space="0"/>
              <w:bottom w:val="single" w:color="auto" w:sz="4" w:space="0"/>
              <w:right w:val="single" w:color="auto" w:sz="4" w:space="0"/>
            </w:tcBorders>
            <w:vAlign w:val="center"/>
          </w:tcPr>
          <w:p w14:paraId="0A754764">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5</w:t>
            </w:r>
          </w:p>
        </w:tc>
        <w:tc>
          <w:tcPr>
            <w:tcW w:w="2144" w:type="dxa"/>
            <w:tcBorders>
              <w:top w:val="single" w:color="auto" w:sz="4" w:space="0"/>
              <w:left w:val="single" w:color="auto" w:sz="4" w:space="0"/>
              <w:bottom w:val="single" w:color="auto" w:sz="4" w:space="0"/>
              <w:right w:val="single" w:color="auto" w:sz="4" w:space="0"/>
            </w:tcBorders>
            <w:vAlign w:val="center"/>
          </w:tcPr>
          <w:p w14:paraId="21F0F9B1">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达不到本标准时每分钟扣一分</w:t>
            </w:r>
          </w:p>
        </w:tc>
        <w:tc>
          <w:tcPr>
            <w:tcW w:w="1371" w:type="dxa"/>
            <w:tcBorders>
              <w:top w:val="single" w:color="auto" w:sz="4" w:space="0"/>
              <w:left w:val="single" w:color="auto" w:sz="4" w:space="0"/>
              <w:bottom w:val="single" w:color="auto" w:sz="4" w:space="0"/>
              <w:right w:val="single" w:color="auto" w:sz="4" w:space="0"/>
            </w:tcBorders>
            <w:vAlign w:val="center"/>
          </w:tcPr>
          <w:p w14:paraId="167008C3">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w:t>
            </w:r>
          </w:p>
        </w:tc>
      </w:tr>
      <w:tr w14:paraId="6DA4A5CC">
        <w:tblPrEx>
          <w:tblCellMar>
            <w:top w:w="0" w:type="dxa"/>
            <w:left w:w="108" w:type="dxa"/>
            <w:bottom w:w="0" w:type="dxa"/>
            <w:right w:w="108" w:type="dxa"/>
          </w:tblCellMar>
        </w:tblPrEx>
        <w:trPr>
          <w:trHeight w:val="696" w:hRule="atLeast"/>
        </w:trPr>
        <w:tc>
          <w:tcPr>
            <w:tcW w:w="1092" w:type="dxa"/>
            <w:tcBorders>
              <w:top w:val="single" w:color="auto" w:sz="4" w:space="0"/>
              <w:left w:val="single" w:color="auto" w:sz="4" w:space="0"/>
              <w:bottom w:val="single" w:color="auto" w:sz="4" w:space="0"/>
              <w:right w:val="single" w:color="auto" w:sz="4" w:space="0"/>
            </w:tcBorders>
            <w:vAlign w:val="center"/>
          </w:tcPr>
          <w:p w14:paraId="3003FDA4">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投诉回复率</w:t>
            </w:r>
          </w:p>
        </w:tc>
        <w:tc>
          <w:tcPr>
            <w:tcW w:w="2525" w:type="dxa"/>
            <w:tcBorders>
              <w:top w:val="single" w:color="auto" w:sz="4" w:space="0"/>
              <w:left w:val="single" w:color="auto" w:sz="4" w:space="0"/>
              <w:bottom w:val="single" w:color="auto" w:sz="4" w:space="0"/>
              <w:right w:val="single" w:color="auto" w:sz="4" w:space="0"/>
            </w:tcBorders>
            <w:vAlign w:val="center"/>
          </w:tcPr>
          <w:p w14:paraId="2C2E7CE2">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保证各项投诉后两小时内给予初步回复的比率</w:t>
            </w:r>
          </w:p>
        </w:tc>
        <w:tc>
          <w:tcPr>
            <w:tcW w:w="1042" w:type="dxa"/>
            <w:tcBorders>
              <w:top w:val="single" w:color="auto" w:sz="4" w:space="0"/>
              <w:left w:val="single" w:color="auto" w:sz="4" w:space="0"/>
              <w:bottom w:val="single" w:color="auto" w:sz="4" w:space="0"/>
              <w:right w:val="single" w:color="auto" w:sz="4" w:space="0"/>
            </w:tcBorders>
            <w:vAlign w:val="center"/>
          </w:tcPr>
          <w:p w14:paraId="5EDB9DE7">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100%</w:t>
            </w:r>
          </w:p>
        </w:tc>
        <w:tc>
          <w:tcPr>
            <w:tcW w:w="833" w:type="dxa"/>
            <w:tcBorders>
              <w:top w:val="single" w:color="auto" w:sz="4" w:space="0"/>
              <w:left w:val="single" w:color="auto" w:sz="4" w:space="0"/>
              <w:bottom w:val="single" w:color="auto" w:sz="4" w:space="0"/>
              <w:right w:val="single" w:color="auto" w:sz="4" w:space="0"/>
            </w:tcBorders>
            <w:vAlign w:val="center"/>
          </w:tcPr>
          <w:p w14:paraId="5413723F">
            <w:pPr>
              <w:widowControl/>
              <w:spacing w:line="260" w:lineRule="exact"/>
              <w:ind w:firstLine="200"/>
              <w:jc w:val="center"/>
              <w:rPr>
                <w:rFonts w:hint="eastAsia" w:ascii="仿宋" w:hAnsi="仿宋" w:eastAsia="仿宋" w:cs="仿宋"/>
                <w:color w:val="000000"/>
                <w:sz w:val="28"/>
                <w:szCs w:val="28"/>
              </w:rPr>
            </w:pPr>
          </w:p>
        </w:tc>
        <w:tc>
          <w:tcPr>
            <w:tcW w:w="751" w:type="dxa"/>
            <w:tcBorders>
              <w:top w:val="single" w:color="auto" w:sz="4" w:space="0"/>
              <w:left w:val="single" w:color="auto" w:sz="4" w:space="0"/>
              <w:bottom w:val="single" w:color="auto" w:sz="4" w:space="0"/>
              <w:right w:val="single" w:color="auto" w:sz="4" w:space="0"/>
            </w:tcBorders>
            <w:vAlign w:val="center"/>
          </w:tcPr>
          <w:p w14:paraId="5575AAEE">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5</w:t>
            </w:r>
          </w:p>
        </w:tc>
        <w:tc>
          <w:tcPr>
            <w:tcW w:w="2144" w:type="dxa"/>
            <w:tcBorders>
              <w:top w:val="single" w:color="auto" w:sz="4" w:space="0"/>
              <w:left w:val="single" w:color="auto" w:sz="4" w:space="0"/>
              <w:bottom w:val="single" w:color="auto" w:sz="4" w:space="0"/>
              <w:right w:val="single" w:color="auto" w:sz="4" w:space="0"/>
            </w:tcBorders>
            <w:vAlign w:val="center"/>
          </w:tcPr>
          <w:p w14:paraId="3D1A6222">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达不到本标准时每差一个百分点扣一分</w:t>
            </w:r>
          </w:p>
        </w:tc>
        <w:tc>
          <w:tcPr>
            <w:tcW w:w="1371" w:type="dxa"/>
            <w:tcBorders>
              <w:top w:val="single" w:color="auto" w:sz="4" w:space="0"/>
              <w:left w:val="single" w:color="auto" w:sz="4" w:space="0"/>
              <w:bottom w:val="single" w:color="auto" w:sz="4" w:space="0"/>
              <w:right w:val="single" w:color="auto" w:sz="4" w:space="0"/>
            </w:tcBorders>
            <w:vAlign w:val="center"/>
          </w:tcPr>
          <w:p w14:paraId="187FCA90">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w:t>
            </w:r>
          </w:p>
        </w:tc>
      </w:tr>
      <w:tr w14:paraId="333F809F">
        <w:tblPrEx>
          <w:tblCellMar>
            <w:top w:w="0" w:type="dxa"/>
            <w:left w:w="108" w:type="dxa"/>
            <w:bottom w:w="0" w:type="dxa"/>
            <w:right w:w="108" w:type="dxa"/>
          </w:tblCellMar>
        </w:tblPrEx>
        <w:trPr>
          <w:trHeight w:val="472" w:hRule="atLeast"/>
        </w:trPr>
        <w:tc>
          <w:tcPr>
            <w:tcW w:w="1092" w:type="dxa"/>
            <w:tcBorders>
              <w:top w:val="single" w:color="auto" w:sz="4" w:space="0"/>
              <w:left w:val="single" w:color="auto" w:sz="4" w:space="0"/>
              <w:bottom w:val="single" w:color="auto" w:sz="4" w:space="0"/>
              <w:right w:val="single" w:color="auto" w:sz="4" w:space="0"/>
            </w:tcBorders>
            <w:vAlign w:val="center"/>
          </w:tcPr>
          <w:p w14:paraId="0187FD2D">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服务规范率</w:t>
            </w:r>
          </w:p>
        </w:tc>
        <w:tc>
          <w:tcPr>
            <w:tcW w:w="2525" w:type="dxa"/>
            <w:tcBorders>
              <w:top w:val="single" w:color="auto" w:sz="4" w:space="0"/>
              <w:left w:val="single" w:color="auto" w:sz="4" w:space="0"/>
              <w:bottom w:val="single" w:color="auto" w:sz="4" w:space="0"/>
              <w:right w:val="single" w:color="auto" w:sz="4" w:space="0"/>
            </w:tcBorders>
            <w:vAlign w:val="center"/>
          </w:tcPr>
          <w:p w14:paraId="22E5AAA3">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仪容仪表以及礼貌用语等各项服务态度达到回复的比率</w:t>
            </w:r>
          </w:p>
        </w:tc>
        <w:tc>
          <w:tcPr>
            <w:tcW w:w="1042" w:type="dxa"/>
            <w:tcBorders>
              <w:top w:val="single" w:color="auto" w:sz="4" w:space="0"/>
              <w:left w:val="single" w:color="auto" w:sz="4" w:space="0"/>
              <w:bottom w:val="single" w:color="auto" w:sz="4" w:space="0"/>
              <w:right w:val="single" w:color="auto" w:sz="4" w:space="0"/>
            </w:tcBorders>
            <w:vAlign w:val="center"/>
          </w:tcPr>
          <w:p w14:paraId="68EA6FB3">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≥95%</w:t>
            </w:r>
          </w:p>
        </w:tc>
        <w:tc>
          <w:tcPr>
            <w:tcW w:w="833" w:type="dxa"/>
            <w:tcBorders>
              <w:top w:val="single" w:color="auto" w:sz="4" w:space="0"/>
              <w:left w:val="single" w:color="auto" w:sz="4" w:space="0"/>
              <w:bottom w:val="single" w:color="auto" w:sz="4" w:space="0"/>
              <w:right w:val="single" w:color="auto" w:sz="4" w:space="0"/>
            </w:tcBorders>
            <w:vAlign w:val="center"/>
          </w:tcPr>
          <w:p w14:paraId="38BC60E6">
            <w:pPr>
              <w:widowControl/>
              <w:spacing w:line="260" w:lineRule="exact"/>
              <w:ind w:firstLine="200"/>
              <w:jc w:val="center"/>
              <w:rPr>
                <w:rFonts w:hint="eastAsia" w:ascii="仿宋" w:hAnsi="仿宋" w:eastAsia="仿宋" w:cs="仿宋"/>
                <w:color w:val="000000"/>
                <w:sz w:val="28"/>
                <w:szCs w:val="28"/>
              </w:rPr>
            </w:pPr>
          </w:p>
        </w:tc>
        <w:tc>
          <w:tcPr>
            <w:tcW w:w="751" w:type="dxa"/>
            <w:tcBorders>
              <w:top w:val="single" w:color="auto" w:sz="4" w:space="0"/>
              <w:left w:val="single" w:color="auto" w:sz="4" w:space="0"/>
              <w:bottom w:val="single" w:color="auto" w:sz="4" w:space="0"/>
              <w:right w:val="single" w:color="auto" w:sz="4" w:space="0"/>
            </w:tcBorders>
            <w:vAlign w:val="center"/>
          </w:tcPr>
          <w:p w14:paraId="4F702307">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5</w:t>
            </w:r>
          </w:p>
        </w:tc>
        <w:tc>
          <w:tcPr>
            <w:tcW w:w="2144" w:type="dxa"/>
            <w:tcBorders>
              <w:top w:val="single" w:color="auto" w:sz="4" w:space="0"/>
              <w:left w:val="single" w:color="auto" w:sz="4" w:space="0"/>
              <w:bottom w:val="single" w:color="auto" w:sz="4" w:space="0"/>
              <w:right w:val="single" w:color="auto" w:sz="4" w:space="0"/>
            </w:tcBorders>
            <w:vAlign w:val="center"/>
          </w:tcPr>
          <w:p w14:paraId="03C210DD">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达不到本标准时每差一个百分点扣一分</w:t>
            </w:r>
          </w:p>
        </w:tc>
        <w:tc>
          <w:tcPr>
            <w:tcW w:w="1371" w:type="dxa"/>
            <w:tcBorders>
              <w:top w:val="single" w:color="auto" w:sz="4" w:space="0"/>
              <w:left w:val="single" w:color="auto" w:sz="4" w:space="0"/>
              <w:bottom w:val="single" w:color="auto" w:sz="4" w:space="0"/>
              <w:right w:val="single" w:color="auto" w:sz="4" w:space="0"/>
            </w:tcBorders>
            <w:vAlign w:val="center"/>
          </w:tcPr>
          <w:p w14:paraId="399958BC">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w:t>
            </w:r>
          </w:p>
        </w:tc>
      </w:tr>
      <w:tr w14:paraId="21BAA863">
        <w:tblPrEx>
          <w:tblCellMar>
            <w:top w:w="0" w:type="dxa"/>
            <w:left w:w="108" w:type="dxa"/>
            <w:bottom w:w="0" w:type="dxa"/>
            <w:right w:w="108" w:type="dxa"/>
          </w:tblCellMar>
        </w:tblPrEx>
        <w:trPr>
          <w:trHeight w:val="642" w:hRule="atLeast"/>
        </w:trPr>
        <w:tc>
          <w:tcPr>
            <w:tcW w:w="1092" w:type="dxa"/>
            <w:tcBorders>
              <w:top w:val="single" w:color="auto" w:sz="4" w:space="0"/>
              <w:left w:val="single" w:color="auto" w:sz="4" w:space="0"/>
              <w:bottom w:val="single" w:color="auto" w:sz="4" w:space="0"/>
              <w:right w:val="single" w:color="auto" w:sz="4" w:space="0"/>
            </w:tcBorders>
            <w:vAlign w:val="center"/>
          </w:tcPr>
          <w:p w14:paraId="11BD7350">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操作达标率</w:t>
            </w:r>
          </w:p>
        </w:tc>
        <w:tc>
          <w:tcPr>
            <w:tcW w:w="2525" w:type="dxa"/>
            <w:tcBorders>
              <w:top w:val="single" w:color="auto" w:sz="4" w:space="0"/>
              <w:left w:val="single" w:color="auto" w:sz="4" w:space="0"/>
              <w:bottom w:val="single" w:color="auto" w:sz="4" w:space="0"/>
              <w:right w:val="single" w:color="auto" w:sz="4" w:space="0"/>
            </w:tcBorders>
            <w:vAlign w:val="center"/>
          </w:tcPr>
          <w:p w14:paraId="3F638B6A">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物业服务的各项操作达标比率</w:t>
            </w:r>
          </w:p>
        </w:tc>
        <w:tc>
          <w:tcPr>
            <w:tcW w:w="1042" w:type="dxa"/>
            <w:tcBorders>
              <w:top w:val="single" w:color="auto" w:sz="4" w:space="0"/>
              <w:left w:val="single" w:color="auto" w:sz="4" w:space="0"/>
              <w:bottom w:val="single" w:color="auto" w:sz="4" w:space="0"/>
              <w:right w:val="single" w:color="auto" w:sz="4" w:space="0"/>
            </w:tcBorders>
            <w:vAlign w:val="center"/>
          </w:tcPr>
          <w:p w14:paraId="75619A6A">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≥95%</w:t>
            </w:r>
          </w:p>
        </w:tc>
        <w:tc>
          <w:tcPr>
            <w:tcW w:w="833" w:type="dxa"/>
            <w:tcBorders>
              <w:top w:val="single" w:color="auto" w:sz="4" w:space="0"/>
              <w:left w:val="single" w:color="auto" w:sz="4" w:space="0"/>
              <w:bottom w:val="single" w:color="auto" w:sz="4" w:space="0"/>
              <w:right w:val="single" w:color="auto" w:sz="4" w:space="0"/>
            </w:tcBorders>
            <w:vAlign w:val="center"/>
          </w:tcPr>
          <w:p w14:paraId="57007EFE">
            <w:pPr>
              <w:widowControl/>
              <w:spacing w:line="260" w:lineRule="exact"/>
              <w:ind w:firstLine="200"/>
              <w:jc w:val="center"/>
              <w:rPr>
                <w:rFonts w:hint="eastAsia" w:ascii="仿宋" w:hAnsi="仿宋" w:eastAsia="仿宋" w:cs="仿宋"/>
                <w:color w:val="000000"/>
                <w:sz w:val="28"/>
                <w:szCs w:val="28"/>
              </w:rPr>
            </w:pPr>
          </w:p>
        </w:tc>
        <w:tc>
          <w:tcPr>
            <w:tcW w:w="751" w:type="dxa"/>
            <w:tcBorders>
              <w:top w:val="single" w:color="auto" w:sz="4" w:space="0"/>
              <w:left w:val="single" w:color="auto" w:sz="4" w:space="0"/>
              <w:bottom w:val="single" w:color="auto" w:sz="4" w:space="0"/>
              <w:right w:val="single" w:color="auto" w:sz="4" w:space="0"/>
            </w:tcBorders>
            <w:vAlign w:val="center"/>
          </w:tcPr>
          <w:p w14:paraId="287FF209">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5</w:t>
            </w:r>
          </w:p>
        </w:tc>
        <w:tc>
          <w:tcPr>
            <w:tcW w:w="2144" w:type="dxa"/>
            <w:tcBorders>
              <w:top w:val="single" w:color="auto" w:sz="4" w:space="0"/>
              <w:left w:val="single" w:color="auto" w:sz="4" w:space="0"/>
              <w:bottom w:val="single" w:color="auto" w:sz="4" w:space="0"/>
              <w:right w:val="single" w:color="auto" w:sz="4" w:space="0"/>
            </w:tcBorders>
            <w:vAlign w:val="center"/>
          </w:tcPr>
          <w:p w14:paraId="33FB1C9E">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达不到本标准时每差一个百分点扣一分</w:t>
            </w:r>
          </w:p>
        </w:tc>
        <w:tc>
          <w:tcPr>
            <w:tcW w:w="1371" w:type="dxa"/>
            <w:tcBorders>
              <w:top w:val="single" w:color="auto" w:sz="4" w:space="0"/>
              <w:left w:val="single" w:color="auto" w:sz="4" w:space="0"/>
              <w:bottom w:val="single" w:color="auto" w:sz="4" w:space="0"/>
              <w:right w:val="single" w:color="auto" w:sz="4" w:space="0"/>
            </w:tcBorders>
            <w:vAlign w:val="center"/>
          </w:tcPr>
          <w:p w14:paraId="626C0EE1">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w:t>
            </w:r>
          </w:p>
        </w:tc>
      </w:tr>
      <w:tr w14:paraId="6A2C4493">
        <w:tblPrEx>
          <w:tblCellMar>
            <w:top w:w="0" w:type="dxa"/>
            <w:left w:w="108" w:type="dxa"/>
            <w:bottom w:w="0" w:type="dxa"/>
            <w:right w:w="108" w:type="dxa"/>
          </w:tblCellMar>
        </w:tblPrEx>
        <w:trPr>
          <w:trHeight w:val="694" w:hRule="atLeast"/>
        </w:trPr>
        <w:tc>
          <w:tcPr>
            <w:tcW w:w="1092" w:type="dxa"/>
            <w:tcBorders>
              <w:top w:val="single" w:color="auto" w:sz="4" w:space="0"/>
              <w:left w:val="single" w:color="auto" w:sz="4" w:space="0"/>
              <w:bottom w:val="single" w:color="auto" w:sz="4" w:space="0"/>
              <w:right w:val="single" w:color="auto" w:sz="4" w:space="0"/>
            </w:tcBorders>
            <w:vAlign w:val="center"/>
          </w:tcPr>
          <w:p w14:paraId="74312D78">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培训上岗率</w:t>
            </w:r>
          </w:p>
        </w:tc>
        <w:tc>
          <w:tcPr>
            <w:tcW w:w="2525" w:type="dxa"/>
            <w:tcBorders>
              <w:top w:val="single" w:color="auto" w:sz="4" w:space="0"/>
              <w:left w:val="single" w:color="auto" w:sz="4" w:space="0"/>
              <w:bottom w:val="single" w:color="auto" w:sz="4" w:space="0"/>
              <w:right w:val="single" w:color="auto" w:sz="4" w:space="0"/>
            </w:tcBorders>
            <w:vAlign w:val="center"/>
          </w:tcPr>
          <w:p w14:paraId="328C360D">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经培训考试合格后上岗的比率</w:t>
            </w:r>
          </w:p>
        </w:tc>
        <w:tc>
          <w:tcPr>
            <w:tcW w:w="1042" w:type="dxa"/>
            <w:tcBorders>
              <w:top w:val="single" w:color="auto" w:sz="4" w:space="0"/>
              <w:left w:val="single" w:color="auto" w:sz="4" w:space="0"/>
              <w:bottom w:val="single" w:color="auto" w:sz="4" w:space="0"/>
              <w:right w:val="single" w:color="auto" w:sz="4" w:space="0"/>
            </w:tcBorders>
            <w:vAlign w:val="center"/>
          </w:tcPr>
          <w:p w14:paraId="2C8C7176">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100%</w:t>
            </w:r>
          </w:p>
        </w:tc>
        <w:tc>
          <w:tcPr>
            <w:tcW w:w="833" w:type="dxa"/>
            <w:tcBorders>
              <w:top w:val="single" w:color="auto" w:sz="4" w:space="0"/>
              <w:left w:val="single" w:color="auto" w:sz="4" w:space="0"/>
              <w:bottom w:val="single" w:color="auto" w:sz="4" w:space="0"/>
              <w:right w:val="single" w:color="auto" w:sz="4" w:space="0"/>
            </w:tcBorders>
            <w:vAlign w:val="center"/>
          </w:tcPr>
          <w:p w14:paraId="48EAC788">
            <w:pPr>
              <w:widowControl/>
              <w:spacing w:line="260" w:lineRule="exact"/>
              <w:ind w:firstLine="200"/>
              <w:jc w:val="center"/>
              <w:rPr>
                <w:rFonts w:hint="eastAsia" w:ascii="仿宋" w:hAnsi="仿宋" w:eastAsia="仿宋" w:cs="仿宋"/>
                <w:color w:val="000000"/>
                <w:sz w:val="28"/>
                <w:szCs w:val="28"/>
              </w:rPr>
            </w:pPr>
          </w:p>
        </w:tc>
        <w:tc>
          <w:tcPr>
            <w:tcW w:w="751" w:type="dxa"/>
            <w:tcBorders>
              <w:top w:val="single" w:color="auto" w:sz="4" w:space="0"/>
              <w:left w:val="single" w:color="auto" w:sz="4" w:space="0"/>
              <w:bottom w:val="single" w:color="auto" w:sz="4" w:space="0"/>
              <w:right w:val="single" w:color="auto" w:sz="4" w:space="0"/>
            </w:tcBorders>
            <w:vAlign w:val="center"/>
          </w:tcPr>
          <w:p w14:paraId="77B53F33">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5</w:t>
            </w:r>
          </w:p>
        </w:tc>
        <w:tc>
          <w:tcPr>
            <w:tcW w:w="2144" w:type="dxa"/>
            <w:tcBorders>
              <w:top w:val="single" w:color="auto" w:sz="4" w:space="0"/>
              <w:left w:val="single" w:color="auto" w:sz="4" w:space="0"/>
              <w:bottom w:val="single" w:color="auto" w:sz="4" w:space="0"/>
              <w:right w:val="single" w:color="auto" w:sz="4" w:space="0"/>
            </w:tcBorders>
            <w:vAlign w:val="center"/>
          </w:tcPr>
          <w:p w14:paraId="64923FA9">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达不到本标准时每差一个百分点扣一分</w:t>
            </w:r>
          </w:p>
        </w:tc>
        <w:tc>
          <w:tcPr>
            <w:tcW w:w="1371" w:type="dxa"/>
            <w:tcBorders>
              <w:top w:val="single" w:color="auto" w:sz="4" w:space="0"/>
              <w:left w:val="single" w:color="auto" w:sz="4" w:space="0"/>
              <w:bottom w:val="single" w:color="auto" w:sz="4" w:space="0"/>
              <w:right w:val="single" w:color="auto" w:sz="4" w:space="0"/>
            </w:tcBorders>
            <w:vAlign w:val="center"/>
          </w:tcPr>
          <w:p w14:paraId="6C27AFCE">
            <w:pPr>
              <w:widowControl/>
              <w:spacing w:line="260" w:lineRule="exact"/>
              <w:ind w:firstLine="200"/>
              <w:jc w:val="center"/>
              <w:rPr>
                <w:rFonts w:hint="eastAsia" w:ascii="仿宋" w:hAnsi="仿宋" w:eastAsia="仿宋" w:cs="仿宋"/>
                <w:color w:val="000000"/>
                <w:sz w:val="28"/>
                <w:szCs w:val="28"/>
              </w:rPr>
            </w:pPr>
          </w:p>
        </w:tc>
      </w:tr>
      <w:tr w14:paraId="1A138DF4">
        <w:tblPrEx>
          <w:tblCellMar>
            <w:top w:w="0" w:type="dxa"/>
            <w:left w:w="108" w:type="dxa"/>
            <w:bottom w:w="0" w:type="dxa"/>
            <w:right w:w="108" w:type="dxa"/>
          </w:tblCellMar>
        </w:tblPrEx>
        <w:trPr>
          <w:trHeight w:val="472" w:hRule="atLeast"/>
        </w:trPr>
        <w:tc>
          <w:tcPr>
            <w:tcW w:w="1092" w:type="dxa"/>
            <w:tcBorders>
              <w:top w:val="single" w:color="auto" w:sz="4" w:space="0"/>
              <w:left w:val="single" w:color="auto" w:sz="4" w:space="0"/>
              <w:bottom w:val="single" w:color="auto" w:sz="4" w:space="0"/>
              <w:right w:val="single" w:color="auto" w:sz="4" w:space="0"/>
            </w:tcBorders>
            <w:vAlign w:val="center"/>
          </w:tcPr>
          <w:p w14:paraId="58EA51A7">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物业设施配备齐全率</w:t>
            </w:r>
          </w:p>
        </w:tc>
        <w:tc>
          <w:tcPr>
            <w:tcW w:w="2525" w:type="dxa"/>
            <w:tcBorders>
              <w:top w:val="single" w:color="auto" w:sz="4" w:space="0"/>
              <w:left w:val="single" w:color="auto" w:sz="4" w:space="0"/>
              <w:bottom w:val="single" w:color="auto" w:sz="4" w:space="0"/>
              <w:right w:val="single" w:color="auto" w:sz="4" w:space="0"/>
            </w:tcBorders>
            <w:vAlign w:val="center"/>
          </w:tcPr>
          <w:p w14:paraId="32AB87AF">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在符合合同的范围内</w:t>
            </w:r>
          </w:p>
        </w:tc>
        <w:tc>
          <w:tcPr>
            <w:tcW w:w="1042" w:type="dxa"/>
            <w:tcBorders>
              <w:top w:val="single" w:color="auto" w:sz="4" w:space="0"/>
              <w:left w:val="single" w:color="auto" w:sz="4" w:space="0"/>
              <w:bottom w:val="single" w:color="auto" w:sz="4" w:space="0"/>
              <w:right w:val="single" w:color="auto" w:sz="4" w:space="0"/>
            </w:tcBorders>
            <w:vAlign w:val="center"/>
          </w:tcPr>
          <w:p w14:paraId="0483218F">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100%</w:t>
            </w:r>
          </w:p>
        </w:tc>
        <w:tc>
          <w:tcPr>
            <w:tcW w:w="833" w:type="dxa"/>
            <w:tcBorders>
              <w:top w:val="single" w:color="auto" w:sz="4" w:space="0"/>
              <w:left w:val="single" w:color="auto" w:sz="4" w:space="0"/>
              <w:bottom w:val="single" w:color="auto" w:sz="4" w:space="0"/>
              <w:right w:val="single" w:color="auto" w:sz="4" w:space="0"/>
            </w:tcBorders>
            <w:vAlign w:val="center"/>
          </w:tcPr>
          <w:p w14:paraId="1976C240">
            <w:pPr>
              <w:widowControl/>
              <w:spacing w:line="260" w:lineRule="exact"/>
              <w:ind w:firstLine="200"/>
              <w:jc w:val="center"/>
              <w:rPr>
                <w:rFonts w:hint="eastAsia" w:ascii="仿宋" w:hAnsi="仿宋" w:eastAsia="仿宋" w:cs="仿宋"/>
                <w:color w:val="000000"/>
                <w:sz w:val="28"/>
                <w:szCs w:val="28"/>
              </w:rPr>
            </w:pPr>
          </w:p>
        </w:tc>
        <w:tc>
          <w:tcPr>
            <w:tcW w:w="751" w:type="dxa"/>
            <w:tcBorders>
              <w:top w:val="single" w:color="auto" w:sz="4" w:space="0"/>
              <w:left w:val="single" w:color="auto" w:sz="4" w:space="0"/>
              <w:bottom w:val="single" w:color="auto" w:sz="4" w:space="0"/>
              <w:right w:val="single" w:color="auto" w:sz="4" w:space="0"/>
            </w:tcBorders>
            <w:vAlign w:val="center"/>
          </w:tcPr>
          <w:p w14:paraId="137005BA">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5</w:t>
            </w:r>
          </w:p>
        </w:tc>
        <w:tc>
          <w:tcPr>
            <w:tcW w:w="2144" w:type="dxa"/>
            <w:tcBorders>
              <w:top w:val="single" w:color="auto" w:sz="4" w:space="0"/>
              <w:left w:val="single" w:color="auto" w:sz="4" w:space="0"/>
              <w:bottom w:val="single" w:color="auto" w:sz="4" w:space="0"/>
              <w:right w:val="single" w:color="auto" w:sz="4" w:space="0"/>
            </w:tcBorders>
            <w:vAlign w:val="center"/>
          </w:tcPr>
          <w:p w14:paraId="0EA027D6">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达不到本标准时每差一个百分点扣一分</w:t>
            </w:r>
          </w:p>
        </w:tc>
        <w:tc>
          <w:tcPr>
            <w:tcW w:w="1371" w:type="dxa"/>
            <w:tcBorders>
              <w:top w:val="single" w:color="auto" w:sz="4" w:space="0"/>
              <w:left w:val="single" w:color="auto" w:sz="4" w:space="0"/>
              <w:bottom w:val="single" w:color="auto" w:sz="4" w:space="0"/>
              <w:right w:val="single" w:color="auto" w:sz="4" w:space="0"/>
            </w:tcBorders>
            <w:vAlign w:val="center"/>
          </w:tcPr>
          <w:p w14:paraId="705DCB01">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w:t>
            </w:r>
          </w:p>
        </w:tc>
      </w:tr>
      <w:tr w14:paraId="5CACCAFF">
        <w:tblPrEx>
          <w:tblCellMar>
            <w:top w:w="0" w:type="dxa"/>
            <w:left w:w="108" w:type="dxa"/>
            <w:bottom w:w="0" w:type="dxa"/>
            <w:right w:w="108" w:type="dxa"/>
          </w:tblCellMar>
        </w:tblPrEx>
        <w:trPr>
          <w:trHeight w:val="421" w:hRule="atLeast"/>
        </w:trPr>
        <w:tc>
          <w:tcPr>
            <w:tcW w:w="1092" w:type="dxa"/>
            <w:tcBorders>
              <w:top w:val="single" w:color="auto" w:sz="4" w:space="0"/>
              <w:left w:val="single" w:color="auto" w:sz="4" w:space="0"/>
              <w:bottom w:val="single" w:color="auto" w:sz="4" w:space="0"/>
              <w:right w:val="single" w:color="auto" w:sz="4" w:space="0"/>
            </w:tcBorders>
            <w:vAlign w:val="center"/>
          </w:tcPr>
          <w:p w14:paraId="37C8F1FF">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其它工作满意率</w:t>
            </w:r>
          </w:p>
        </w:tc>
        <w:tc>
          <w:tcPr>
            <w:tcW w:w="2525" w:type="dxa"/>
            <w:tcBorders>
              <w:top w:val="single" w:color="auto" w:sz="4" w:space="0"/>
              <w:left w:val="single" w:color="auto" w:sz="4" w:space="0"/>
              <w:bottom w:val="single" w:color="auto" w:sz="4" w:space="0"/>
              <w:right w:val="single" w:color="auto" w:sz="4" w:space="0"/>
            </w:tcBorders>
            <w:vAlign w:val="center"/>
          </w:tcPr>
          <w:p w14:paraId="4B554F64">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根据采购人要求制定的其它工作指标完成的比率</w:t>
            </w:r>
          </w:p>
        </w:tc>
        <w:tc>
          <w:tcPr>
            <w:tcW w:w="1042" w:type="dxa"/>
            <w:tcBorders>
              <w:top w:val="single" w:color="auto" w:sz="4" w:space="0"/>
              <w:left w:val="single" w:color="auto" w:sz="4" w:space="0"/>
              <w:bottom w:val="single" w:color="auto" w:sz="4" w:space="0"/>
              <w:right w:val="single" w:color="auto" w:sz="4" w:space="0"/>
            </w:tcBorders>
            <w:vAlign w:val="center"/>
          </w:tcPr>
          <w:p w14:paraId="01CB2856">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≥95%</w:t>
            </w:r>
          </w:p>
        </w:tc>
        <w:tc>
          <w:tcPr>
            <w:tcW w:w="833" w:type="dxa"/>
            <w:tcBorders>
              <w:top w:val="single" w:color="auto" w:sz="4" w:space="0"/>
              <w:left w:val="single" w:color="auto" w:sz="4" w:space="0"/>
              <w:bottom w:val="single" w:color="auto" w:sz="4" w:space="0"/>
              <w:right w:val="single" w:color="auto" w:sz="4" w:space="0"/>
            </w:tcBorders>
            <w:vAlign w:val="center"/>
          </w:tcPr>
          <w:p w14:paraId="0E2EFA5B">
            <w:pPr>
              <w:widowControl/>
              <w:spacing w:line="260" w:lineRule="exact"/>
              <w:ind w:firstLine="200"/>
              <w:jc w:val="center"/>
              <w:rPr>
                <w:rFonts w:hint="eastAsia" w:ascii="仿宋" w:hAnsi="仿宋" w:eastAsia="仿宋" w:cs="仿宋"/>
                <w:color w:val="000000"/>
                <w:sz w:val="28"/>
                <w:szCs w:val="28"/>
              </w:rPr>
            </w:pPr>
          </w:p>
        </w:tc>
        <w:tc>
          <w:tcPr>
            <w:tcW w:w="751" w:type="dxa"/>
            <w:tcBorders>
              <w:top w:val="single" w:color="auto" w:sz="4" w:space="0"/>
              <w:left w:val="single" w:color="auto" w:sz="4" w:space="0"/>
              <w:bottom w:val="single" w:color="auto" w:sz="4" w:space="0"/>
              <w:right w:val="single" w:color="auto" w:sz="4" w:space="0"/>
            </w:tcBorders>
            <w:vAlign w:val="center"/>
          </w:tcPr>
          <w:p w14:paraId="56E377E0">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5</w:t>
            </w:r>
          </w:p>
        </w:tc>
        <w:tc>
          <w:tcPr>
            <w:tcW w:w="2144" w:type="dxa"/>
            <w:tcBorders>
              <w:top w:val="single" w:color="auto" w:sz="4" w:space="0"/>
              <w:left w:val="single" w:color="auto" w:sz="4" w:space="0"/>
              <w:bottom w:val="single" w:color="auto" w:sz="4" w:space="0"/>
              <w:right w:val="single" w:color="auto" w:sz="4" w:space="0"/>
            </w:tcBorders>
            <w:vAlign w:val="center"/>
          </w:tcPr>
          <w:p w14:paraId="5274A111">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达不到本标准时每差一个百分点扣一分</w:t>
            </w:r>
          </w:p>
        </w:tc>
        <w:tc>
          <w:tcPr>
            <w:tcW w:w="1371" w:type="dxa"/>
            <w:tcBorders>
              <w:top w:val="single" w:color="auto" w:sz="4" w:space="0"/>
              <w:left w:val="single" w:color="auto" w:sz="4" w:space="0"/>
              <w:bottom w:val="single" w:color="auto" w:sz="4" w:space="0"/>
              <w:right w:val="single" w:color="auto" w:sz="4" w:space="0"/>
            </w:tcBorders>
            <w:vAlign w:val="center"/>
          </w:tcPr>
          <w:p w14:paraId="67F86240">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w:t>
            </w:r>
          </w:p>
        </w:tc>
      </w:tr>
      <w:tr w14:paraId="4002085D">
        <w:tblPrEx>
          <w:tblCellMar>
            <w:top w:w="0" w:type="dxa"/>
            <w:left w:w="108" w:type="dxa"/>
            <w:bottom w:w="0" w:type="dxa"/>
            <w:right w:w="108" w:type="dxa"/>
          </w:tblCellMar>
        </w:tblPrEx>
        <w:trPr>
          <w:trHeight w:val="90" w:hRule="atLeast"/>
        </w:trPr>
        <w:tc>
          <w:tcPr>
            <w:tcW w:w="1092" w:type="dxa"/>
            <w:tcBorders>
              <w:top w:val="single" w:color="auto" w:sz="4" w:space="0"/>
              <w:left w:val="single" w:color="auto" w:sz="4" w:space="0"/>
              <w:bottom w:val="single" w:color="auto" w:sz="4" w:space="0"/>
              <w:right w:val="single" w:color="auto" w:sz="4" w:space="0"/>
            </w:tcBorders>
            <w:vAlign w:val="center"/>
          </w:tcPr>
          <w:p w14:paraId="77191B13">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垃圾分类合格率</w:t>
            </w:r>
          </w:p>
        </w:tc>
        <w:tc>
          <w:tcPr>
            <w:tcW w:w="2525" w:type="dxa"/>
            <w:tcBorders>
              <w:top w:val="single" w:color="auto" w:sz="4" w:space="0"/>
              <w:left w:val="single" w:color="auto" w:sz="4" w:space="0"/>
              <w:bottom w:val="single" w:color="auto" w:sz="4" w:space="0"/>
              <w:right w:val="single" w:color="auto" w:sz="4" w:space="0"/>
            </w:tcBorders>
            <w:vAlign w:val="center"/>
          </w:tcPr>
          <w:p w14:paraId="6554FF03">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按垃圾分类标准进行操作，主管监督检查得力</w:t>
            </w:r>
          </w:p>
        </w:tc>
        <w:tc>
          <w:tcPr>
            <w:tcW w:w="1042" w:type="dxa"/>
            <w:tcBorders>
              <w:top w:val="single" w:color="auto" w:sz="4" w:space="0"/>
              <w:left w:val="single" w:color="auto" w:sz="4" w:space="0"/>
              <w:bottom w:val="single" w:color="auto" w:sz="4" w:space="0"/>
              <w:right w:val="single" w:color="auto" w:sz="4" w:space="0"/>
            </w:tcBorders>
            <w:vAlign w:val="center"/>
          </w:tcPr>
          <w:p w14:paraId="37C9FDB4">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100%</w:t>
            </w:r>
          </w:p>
        </w:tc>
        <w:tc>
          <w:tcPr>
            <w:tcW w:w="833" w:type="dxa"/>
            <w:tcBorders>
              <w:top w:val="single" w:color="auto" w:sz="4" w:space="0"/>
              <w:left w:val="single" w:color="auto" w:sz="4" w:space="0"/>
              <w:bottom w:val="single" w:color="auto" w:sz="4" w:space="0"/>
              <w:right w:val="single" w:color="auto" w:sz="4" w:space="0"/>
            </w:tcBorders>
            <w:vAlign w:val="center"/>
          </w:tcPr>
          <w:p w14:paraId="24C85D67">
            <w:pPr>
              <w:widowControl/>
              <w:spacing w:line="260" w:lineRule="exact"/>
              <w:ind w:firstLine="200"/>
              <w:jc w:val="center"/>
              <w:rPr>
                <w:rFonts w:hint="eastAsia" w:ascii="仿宋" w:hAnsi="仿宋" w:eastAsia="仿宋" w:cs="仿宋"/>
                <w:color w:val="000000"/>
                <w:sz w:val="28"/>
                <w:szCs w:val="28"/>
              </w:rPr>
            </w:pPr>
          </w:p>
        </w:tc>
        <w:tc>
          <w:tcPr>
            <w:tcW w:w="751" w:type="dxa"/>
            <w:tcBorders>
              <w:top w:val="single" w:color="auto" w:sz="4" w:space="0"/>
              <w:left w:val="single" w:color="auto" w:sz="4" w:space="0"/>
              <w:bottom w:val="single" w:color="auto" w:sz="4" w:space="0"/>
              <w:right w:val="single" w:color="auto" w:sz="4" w:space="0"/>
            </w:tcBorders>
            <w:vAlign w:val="center"/>
          </w:tcPr>
          <w:p w14:paraId="14EE9D80">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5</w:t>
            </w:r>
          </w:p>
        </w:tc>
        <w:tc>
          <w:tcPr>
            <w:tcW w:w="2144" w:type="dxa"/>
            <w:tcBorders>
              <w:top w:val="single" w:color="auto" w:sz="4" w:space="0"/>
              <w:left w:val="single" w:color="auto" w:sz="4" w:space="0"/>
              <w:bottom w:val="single" w:color="auto" w:sz="4" w:space="0"/>
              <w:right w:val="single" w:color="auto" w:sz="4" w:space="0"/>
            </w:tcBorders>
            <w:vAlign w:val="center"/>
          </w:tcPr>
          <w:p w14:paraId="3DCBA9DA">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达不到本标准时每差一个百分点扣一分</w:t>
            </w:r>
          </w:p>
        </w:tc>
        <w:tc>
          <w:tcPr>
            <w:tcW w:w="1371" w:type="dxa"/>
            <w:tcBorders>
              <w:top w:val="single" w:color="auto" w:sz="4" w:space="0"/>
              <w:left w:val="single" w:color="auto" w:sz="4" w:space="0"/>
              <w:bottom w:val="single" w:color="auto" w:sz="4" w:space="0"/>
              <w:right w:val="single" w:color="auto" w:sz="4" w:space="0"/>
            </w:tcBorders>
            <w:vAlign w:val="center"/>
          </w:tcPr>
          <w:p w14:paraId="40052630">
            <w:pPr>
              <w:widowControl/>
              <w:spacing w:line="260" w:lineRule="exact"/>
              <w:ind w:firstLine="200"/>
              <w:jc w:val="center"/>
              <w:rPr>
                <w:rFonts w:hint="eastAsia" w:ascii="仿宋" w:hAnsi="仿宋" w:eastAsia="仿宋" w:cs="仿宋"/>
                <w:color w:val="000000"/>
                <w:sz w:val="28"/>
                <w:szCs w:val="28"/>
              </w:rPr>
            </w:pPr>
          </w:p>
        </w:tc>
      </w:tr>
      <w:tr w14:paraId="05734C0F">
        <w:tblPrEx>
          <w:tblCellMar>
            <w:top w:w="0" w:type="dxa"/>
            <w:left w:w="108" w:type="dxa"/>
            <w:bottom w:w="0" w:type="dxa"/>
            <w:right w:w="108" w:type="dxa"/>
          </w:tblCellMar>
        </w:tblPrEx>
        <w:trPr>
          <w:trHeight w:val="325" w:hRule="atLeast"/>
        </w:trPr>
        <w:tc>
          <w:tcPr>
            <w:tcW w:w="1092" w:type="dxa"/>
            <w:tcBorders>
              <w:top w:val="single" w:color="auto" w:sz="4" w:space="0"/>
              <w:left w:val="single" w:color="auto" w:sz="4" w:space="0"/>
              <w:bottom w:val="single" w:color="auto" w:sz="4" w:space="0"/>
              <w:right w:val="single" w:color="auto" w:sz="4" w:space="0"/>
            </w:tcBorders>
            <w:vAlign w:val="center"/>
          </w:tcPr>
          <w:p w14:paraId="2850F64B">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安全生产合格率</w:t>
            </w:r>
          </w:p>
        </w:tc>
        <w:tc>
          <w:tcPr>
            <w:tcW w:w="2525" w:type="dxa"/>
            <w:tcBorders>
              <w:top w:val="single" w:color="auto" w:sz="4" w:space="0"/>
              <w:left w:val="single" w:color="auto" w:sz="4" w:space="0"/>
              <w:bottom w:val="single" w:color="auto" w:sz="4" w:space="0"/>
              <w:right w:val="single" w:color="auto" w:sz="4" w:space="0"/>
            </w:tcBorders>
            <w:vAlign w:val="center"/>
          </w:tcPr>
          <w:p w14:paraId="53E2B6E6">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在符合合同的范围内</w:t>
            </w:r>
          </w:p>
        </w:tc>
        <w:tc>
          <w:tcPr>
            <w:tcW w:w="1042" w:type="dxa"/>
            <w:tcBorders>
              <w:top w:val="single" w:color="auto" w:sz="4" w:space="0"/>
              <w:left w:val="single" w:color="auto" w:sz="4" w:space="0"/>
              <w:bottom w:val="single" w:color="auto" w:sz="4" w:space="0"/>
              <w:right w:val="single" w:color="auto" w:sz="4" w:space="0"/>
            </w:tcBorders>
            <w:vAlign w:val="center"/>
          </w:tcPr>
          <w:p w14:paraId="4A9A9490">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100%</w:t>
            </w:r>
          </w:p>
        </w:tc>
        <w:tc>
          <w:tcPr>
            <w:tcW w:w="833" w:type="dxa"/>
            <w:tcBorders>
              <w:top w:val="single" w:color="auto" w:sz="4" w:space="0"/>
              <w:left w:val="single" w:color="auto" w:sz="4" w:space="0"/>
              <w:bottom w:val="single" w:color="auto" w:sz="4" w:space="0"/>
              <w:right w:val="single" w:color="auto" w:sz="4" w:space="0"/>
            </w:tcBorders>
            <w:vAlign w:val="center"/>
          </w:tcPr>
          <w:p w14:paraId="51AE6836">
            <w:pPr>
              <w:widowControl/>
              <w:spacing w:line="260" w:lineRule="exact"/>
              <w:ind w:firstLine="200"/>
              <w:jc w:val="center"/>
              <w:rPr>
                <w:rFonts w:hint="eastAsia" w:ascii="仿宋" w:hAnsi="仿宋" w:eastAsia="仿宋" w:cs="仿宋"/>
                <w:color w:val="000000"/>
                <w:sz w:val="28"/>
                <w:szCs w:val="28"/>
              </w:rPr>
            </w:pPr>
          </w:p>
        </w:tc>
        <w:tc>
          <w:tcPr>
            <w:tcW w:w="751" w:type="dxa"/>
            <w:tcBorders>
              <w:top w:val="single" w:color="auto" w:sz="4" w:space="0"/>
              <w:left w:val="single" w:color="auto" w:sz="4" w:space="0"/>
              <w:bottom w:val="single" w:color="auto" w:sz="4" w:space="0"/>
              <w:right w:val="single" w:color="auto" w:sz="4" w:space="0"/>
            </w:tcBorders>
            <w:vAlign w:val="center"/>
          </w:tcPr>
          <w:p w14:paraId="58E9EEF7">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5</w:t>
            </w:r>
          </w:p>
        </w:tc>
        <w:tc>
          <w:tcPr>
            <w:tcW w:w="2144" w:type="dxa"/>
            <w:tcBorders>
              <w:top w:val="single" w:color="auto" w:sz="4" w:space="0"/>
              <w:left w:val="single" w:color="auto" w:sz="4" w:space="0"/>
              <w:bottom w:val="single" w:color="auto" w:sz="4" w:space="0"/>
              <w:right w:val="single" w:color="auto" w:sz="4" w:space="0"/>
            </w:tcBorders>
            <w:vAlign w:val="center"/>
          </w:tcPr>
          <w:p w14:paraId="1BC9CD23">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达不到本标准时每差一个百分点扣一分</w:t>
            </w:r>
          </w:p>
        </w:tc>
        <w:tc>
          <w:tcPr>
            <w:tcW w:w="1371" w:type="dxa"/>
            <w:tcBorders>
              <w:top w:val="single" w:color="auto" w:sz="4" w:space="0"/>
              <w:left w:val="single" w:color="auto" w:sz="4" w:space="0"/>
              <w:bottom w:val="single" w:color="auto" w:sz="4" w:space="0"/>
              <w:right w:val="single" w:color="auto" w:sz="4" w:space="0"/>
            </w:tcBorders>
            <w:vAlign w:val="center"/>
          </w:tcPr>
          <w:p w14:paraId="1802E536">
            <w:pPr>
              <w:widowControl/>
              <w:spacing w:line="260" w:lineRule="exact"/>
              <w:ind w:firstLine="200"/>
              <w:jc w:val="center"/>
              <w:rPr>
                <w:rFonts w:hint="eastAsia" w:ascii="仿宋" w:hAnsi="仿宋" w:eastAsia="仿宋" w:cs="仿宋"/>
                <w:color w:val="000000"/>
                <w:sz w:val="28"/>
                <w:szCs w:val="28"/>
              </w:rPr>
            </w:pPr>
          </w:p>
        </w:tc>
      </w:tr>
      <w:tr w14:paraId="5B5155C3">
        <w:tblPrEx>
          <w:tblCellMar>
            <w:top w:w="0" w:type="dxa"/>
            <w:left w:w="108" w:type="dxa"/>
            <w:bottom w:w="0" w:type="dxa"/>
            <w:right w:w="108" w:type="dxa"/>
          </w:tblCellMar>
        </w:tblPrEx>
        <w:trPr>
          <w:trHeight w:val="667" w:hRule="atLeast"/>
        </w:trPr>
        <w:tc>
          <w:tcPr>
            <w:tcW w:w="1092" w:type="dxa"/>
            <w:tcBorders>
              <w:top w:val="single" w:color="auto" w:sz="4" w:space="0"/>
              <w:left w:val="single" w:color="auto" w:sz="4" w:space="0"/>
              <w:bottom w:val="single" w:color="auto" w:sz="4" w:space="0"/>
              <w:right w:val="single" w:color="auto" w:sz="4" w:space="0"/>
            </w:tcBorders>
            <w:vAlign w:val="center"/>
          </w:tcPr>
          <w:p w14:paraId="2C4C617D">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其它</w:t>
            </w:r>
          </w:p>
        </w:tc>
        <w:tc>
          <w:tcPr>
            <w:tcW w:w="2525" w:type="dxa"/>
            <w:tcBorders>
              <w:top w:val="single" w:color="auto" w:sz="4" w:space="0"/>
              <w:left w:val="single" w:color="auto" w:sz="4" w:space="0"/>
              <w:bottom w:val="single" w:color="auto" w:sz="4" w:space="0"/>
              <w:right w:val="single" w:color="auto" w:sz="4" w:space="0"/>
            </w:tcBorders>
            <w:vAlign w:val="center"/>
          </w:tcPr>
          <w:p w14:paraId="0AFC5359">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因卫生质量引起社会和上级批评或对采购人造成不良影响</w:t>
            </w:r>
          </w:p>
        </w:tc>
        <w:tc>
          <w:tcPr>
            <w:tcW w:w="1042" w:type="dxa"/>
            <w:tcBorders>
              <w:top w:val="single" w:color="auto" w:sz="4" w:space="0"/>
              <w:left w:val="single" w:color="auto" w:sz="4" w:space="0"/>
              <w:bottom w:val="single" w:color="auto" w:sz="4" w:space="0"/>
              <w:right w:val="single" w:color="auto" w:sz="4" w:space="0"/>
            </w:tcBorders>
            <w:vAlign w:val="center"/>
          </w:tcPr>
          <w:p w14:paraId="3319F656">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0</w:t>
            </w:r>
          </w:p>
        </w:tc>
        <w:tc>
          <w:tcPr>
            <w:tcW w:w="833" w:type="dxa"/>
            <w:tcBorders>
              <w:top w:val="single" w:color="auto" w:sz="4" w:space="0"/>
              <w:left w:val="single" w:color="auto" w:sz="4" w:space="0"/>
              <w:bottom w:val="single" w:color="auto" w:sz="4" w:space="0"/>
              <w:right w:val="single" w:color="auto" w:sz="4" w:space="0"/>
            </w:tcBorders>
            <w:vAlign w:val="center"/>
          </w:tcPr>
          <w:p w14:paraId="64930090">
            <w:pPr>
              <w:widowControl/>
              <w:spacing w:line="260" w:lineRule="exact"/>
              <w:ind w:firstLine="200"/>
              <w:jc w:val="center"/>
              <w:rPr>
                <w:rFonts w:hint="eastAsia" w:ascii="仿宋" w:hAnsi="仿宋" w:eastAsia="仿宋" w:cs="仿宋"/>
                <w:color w:val="000000"/>
                <w:sz w:val="28"/>
                <w:szCs w:val="28"/>
              </w:rPr>
            </w:pPr>
          </w:p>
        </w:tc>
        <w:tc>
          <w:tcPr>
            <w:tcW w:w="751" w:type="dxa"/>
            <w:tcBorders>
              <w:top w:val="single" w:color="auto" w:sz="4" w:space="0"/>
              <w:left w:val="single" w:color="auto" w:sz="4" w:space="0"/>
              <w:bottom w:val="single" w:color="auto" w:sz="4" w:space="0"/>
              <w:right w:val="single" w:color="auto" w:sz="4" w:space="0"/>
            </w:tcBorders>
            <w:vAlign w:val="center"/>
          </w:tcPr>
          <w:p w14:paraId="0265B486">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10</w:t>
            </w:r>
          </w:p>
        </w:tc>
        <w:tc>
          <w:tcPr>
            <w:tcW w:w="2144" w:type="dxa"/>
            <w:tcBorders>
              <w:top w:val="single" w:color="auto" w:sz="4" w:space="0"/>
              <w:left w:val="single" w:color="auto" w:sz="4" w:space="0"/>
              <w:bottom w:val="single" w:color="auto" w:sz="4" w:space="0"/>
              <w:right w:val="single" w:color="auto" w:sz="4" w:space="0"/>
            </w:tcBorders>
            <w:vAlign w:val="center"/>
          </w:tcPr>
          <w:p w14:paraId="668A69AC">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有一次批评或不良影响扣二分，造成严重不良影响的扣五分　</w:t>
            </w:r>
          </w:p>
        </w:tc>
        <w:tc>
          <w:tcPr>
            <w:tcW w:w="1371" w:type="dxa"/>
            <w:tcBorders>
              <w:top w:val="single" w:color="auto" w:sz="4" w:space="0"/>
              <w:left w:val="single" w:color="auto" w:sz="4" w:space="0"/>
              <w:bottom w:val="single" w:color="auto" w:sz="4" w:space="0"/>
              <w:right w:val="single" w:color="auto" w:sz="4" w:space="0"/>
            </w:tcBorders>
            <w:vAlign w:val="center"/>
          </w:tcPr>
          <w:p w14:paraId="32F0621C">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w:t>
            </w:r>
          </w:p>
        </w:tc>
      </w:tr>
      <w:tr w14:paraId="27EC3479">
        <w:tblPrEx>
          <w:tblCellMar>
            <w:top w:w="0" w:type="dxa"/>
            <w:left w:w="108" w:type="dxa"/>
            <w:bottom w:w="0" w:type="dxa"/>
            <w:right w:w="108" w:type="dxa"/>
          </w:tblCellMar>
        </w:tblPrEx>
        <w:trPr>
          <w:trHeight w:val="667" w:hRule="atLeast"/>
        </w:trPr>
        <w:tc>
          <w:tcPr>
            <w:tcW w:w="8387" w:type="dxa"/>
            <w:gridSpan w:val="6"/>
            <w:tcBorders>
              <w:top w:val="single" w:color="auto" w:sz="4" w:space="0"/>
              <w:left w:val="single" w:color="auto" w:sz="4" w:space="0"/>
              <w:bottom w:val="single" w:color="auto" w:sz="4" w:space="0"/>
              <w:right w:val="single" w:color="auto" w:sz="4" w:space="0"/>
            </w:tcBorders>
            <w:vAlign w:val="center"/>
          </w:tcPr>
          <w:p w14:paraId="69A6BA0B">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总得分</w:t>
            </w:r>
          </w:p>
        </w:tc>
        <w:tc>
          <w:tcPr>
            <w:tcW w:w="1371" w:type="dxa"/>
            <w:tcBorders>
              <w:top w:val="single" w:color="auto" w:sz="4" w:space="0"/>
              <w:left w:val="single" w:color="auto" w:sz="4" w:space="0"/>
              <w:bottom w:val="single" w:color="auto" w:sz="4" w:space="0"/>
              <w:right w:val="single" w:color="auto" w:sz="4" w:space="0"/>
            </w:tcBorders>
            <w:vAlign w:val="center"/>
          </w:tcPr>
          <w:p w14:paraId="1B71DF7A">
            <w:pPr>
              <w:widowControl/>
              <w:spacing w:line="260" w:lineRule="exact"/>
              <w:ind w:firstLine="200"/>
              <w:jc w:val="center"/>
              <w:rPr>
                <w:rFonts w:hint="eastAsia" w:ascii="仿宋" w:hAnsi="仿宋" w:eastAsia="仿宋" w:cs="仿宋"/>
                <w:color w:val="000000"/>
                <w:sz w:val="28"/>
                <w:szCs w:val="28"/>
              </w:rPr>
            </w:pPr>
          </w:p>
        </w:tc>
      </w:tr>
    </w:tbl>
    <w:p w14:paraId="4405ACDC">
      <w:pPr>
        <w:rPr>
          <w:rFonts w:hint="eastAsia" w:ascii="仿宋" w:hAnsi="仿宋" w:eastAsia="仿宋" w:cs="仿宋"/>
          <w:sz w:val="28"/>
          <w:szCs w:val="28"/>
        </w:rPr>
      </w:pPr>
    </w:p>
    <w:tbl>
      <w:tblPr>
        <w:tblStyle w:val="16"/>
        <w:tblW w:w="9758" w:type="dxa"/>
        <w:tblInd w:w="-578" w:type="dxa"/>
        <w:tblLayout w:type="fixed"/>
        <w:tblCellMar>
          <w:top w:w="0" w:type="dxa"/>
          <w:left w:w="108" w:type="dxa"/>
          <w:bottom w:w="0" w:type="dxa"/>
          <w:right w:w="108" w:type="dxa"/>
        </w:tblCellMar>
      </w:tblPr>
      <w:tblGrid>
        <w:gridCol w:w="872"/>
        <w:gridCol w:w="4515"/>
        <w:gridCol w:w="1617"/>
        <w:gridCol w:w="48"/>
        <w:gridCol w:w="720"/>
        <w:gridCol w:w="72"/>
        <w:gridCol w:w="691"/>
        <w:gridCol w:w="81"/>
        <w:gridCol w:w="1142"/>
      </w:tblGrid>
      <w:tr w14:paraId="5D3F00B0">
        <w:tblPrEx>
          <w:tblCellMar>
            <w:top w:w="0" w:type="dxa"/>
            <w:left w:w="108" w:type="dxa"/>
            <w:bottom w:w="0" w:type="dxa"/>
            <w:right w:w="108" w:type="dxa"/>
          </w:tblCellMar>
        </w:tblPrEx>
        <w:trPr>
          <w:trHeight w:val="455" w:hRule="atLeast"/>
        </w:trPr>
        <w:tc>
          <w:tcPr>
            <w:tcW w:w="9758" w:type="dxa"/>
            <w:gridSpan w:val="9"/>
            <w:tcBorders>
              <w:top w:val="single" w:color="auto" w:sz="4" w:space="0"/>
              <w:left w:val="single" w:color="auto" w:sz="4" w:space="0"/>
              <w:bottom w:val="single" w:color="auto" w:sz="4" w:space="0"/>
              <w:right w:val="single" w:color="auto" w:sz="4" w:space="0"/>
            </w:tcBorders>
            <w:vAlign w:val="center"/>
          </w:tcPr>
          <w:p w14:paraId="39CB39E5">
            <w:pPr>
              <w:widowControl/>
              <w:ind w:firstLine="201"/>
              <w:jc w:val="lef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附件1-2：</w:t>
            </w:r>
          </w:p>
          <w:p w14:paraId="5F72E282">
            <w:pPr>
              <w:widowControl/>
              <w:ind w:firstLine="240"/>
              <w:jc w:val="center"/>
              <w:rPr>
                <w:rFonts w:hint="eastAsia" w:ascii="仿宋" w:hAnsi="仿宋" w:eastAsia="仿宋" w:cs="仿宋"/>
                <w:color w:val="000000"/>
                <w:sz w:val="28"/>
                <w:szCs w:val="28"/>
              </w:rPr>
            </w:pPr>
            <w:r>
              <w:rPr>
                <w:rFonts w:hint="eastAsia" w:ascii="仿宋" w:hAnsi="仿宋" w:eastAsia="仿宋" w:cs="仿宋"/>
                <w:color w:val="000000"/>
                <w:sz w:val="28"/>
                <w:szCs w:val="28"/>
              </w:rPr>
              <w:t>保洁服务考核标准</w:t>
            </w:r>
          </w:p>
        </w:tc>
      </w:tr>
      <w:tr w14:paraId="06720BBE">
        <w:tblPrEx>
          <w:tblCellMar>
            <w:top w:w="0" w:type="dxa"/>
            <w:left w:w="108" w:type="dxa"/>
            <w:bottom w:w="0" w:type="dxa"/>
            <w:right w:w="108" w:type="dxa"/>
          </w:tblCellMar>
        </w:tblPrEx>
        <w:trPr>
          <w:trHeight w:val="574" w:hRule="atLeast"/>
        </w:trPr>
        <w:tc>
          <w:tcPr>
            <w:tcW w:w="872" w:type="dxa"/>
            <w:tcBorders>
              <w:top w:val="single" w:color="auto" w:sz="4" w:space="0"/>
              <w:left w:val="single" w:color="auto" w:sz="4" w:space="0"/>
              <w:bottom w:val="single" w:color="auto" w:sz="4" w:space="0"/>
              <w:right w:val="single" w:color="auto" w:sz="4" w:space="0"/>
            </w:tcBorders>
            <w:vAlign w:val="center"/>
          </w:tcPr>
          <w:p w14:paraId="2573FD77">
            <w:pPr>
              <w:widowControl/>
              <w:spacing w:line="26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项目</w:t>
            </w:r>
          </w:p>
        </w:tc>
        <w:tc>
          <w:tcPr>
            <w:tcW w:w="4515" w:type="dxa"/>
            <w:tcBorders>
              <w:top w:val="single" w:color="auto" w:sz="4" w:space="0"/>
              <w:left w:val="single" w:color="auto" w:sz="4" w:space="0"/>
              <w:bottom w:val="single" w:color="auto" w:sz="4" w:space="0"/>
              <w:right w:val="single" w:color="auto" w:sz="4" w:space="0"/>
            </w:tcBorders>
            <w:vAlign w:val="center"/>
          </w:tcPr>
          <w:p w14:paraId="4C0E1CA5">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标准要求</w:t>
            </w:r>
          </w:p>
        </w:tc>
        <w:tc>
          <w:tcPr>
            <w:tcW w:w="1665" w:type="dxa"/>
            <w:gridSpan w:val="2"/>
            <w:tcBorders>
              <w:top w:val="single" w:color="auto" w:sz="4" w:space="0"/>
              <w:left w:val="single" w:color="auto" w:sz="4" w:space="0"/>
              <w:bottom w:val="single" w:color="auto" w:sz="4" w:space="0"/>
              <w:right w:val="single" w:color="auto" w:sz="4" w:space="0"/>
            </w:tcBorders>
            <w:vAlign w:val="center"/>
          </w:tcPr>
          <w:p w14:paraId="6B4E3819">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扣分标准</w:t>
            </w:r>
          </w:p>
        </w:tc>
        <w:tc>
          <w:tcPr>
            <w:tcW w:w="720" w:type="dxa"/>
            <w:tcBorders>
              <w:top w:val="single" w:color="auto" w:sz="4" w:space="0"/>
              <w:left w:val="single" w:color="auto" w:sz="4" w:space="0"/>
              <w:bottom w:val="single" w:color="auto" w:sz="4" w:space="0"/>
              <w:right w:val="single" w:color="auto" w:sz="4" w:space="0"/>
            </w:tcBorders>
            <w:vAlign w:val="center"/>
          </w:tcPr>
          <w:p w14:paraId="258E5931">
            <w:pPr>
              <w:widowControl/>
              <w:spacing w:line="2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扣分</w:t>
            </w:r>
          </w:p>
        </w:tc>
        <w:tc>
          <w:tcPr>
            <w:tcW w:w="763" w:type="dxa"/>
            <w:gridSpan w:val="2"/>
            <w:tcBorders>
              <w:top w:val="single" w:color="auto" w:sz="4" w:space="0"/>
              <w:left w:val="single" w:color="auto" w:sz="4" w:space="0"/>
              <w:bottom w:val="single" w:color="auto" w:sz="4" w:space="0"/>
              <w:right w:val="single" w:color="auto" w:sz="4" w:space="0"/>
            </w:tcBorders>
            <w:vAlign w:val="center"/>
          </w:tcPr>
          <w:p w14:paraId="5A2E896A">
            <w:pPr>
              <w:widowControl/>
              <w:spacing w:line="260" w:lineRule="exact"/>
              <w:jc w:val="both"/>
              <w:rPr>
                <w:rFonts w:hint="eastAsia" w:ascii="仿宋" w:hAnsi="仿宋" w:eastAsia="仿宋" w:cs="仿宋"/>
                <w:color w:val="000000"/>
                <w:sz w:val="28"/>
                <w:szCs w:val="28"/>
              </w:rPr>
            </w:pPr>
            <w:r>
              <w:rPr>
                <w:rFonts w:hint="eastAsia" w:ascii="仿宋" w:hAnsi="仿宋" w:eastAsia="仿宋" w:cs="仿宋"/>
                <w:color w:val="000000"/>
                <w:sz w:val="28"/>
                <w:szCs w:val="28"/>
              </w:rPr>
              <w:t>分值</w:t>
            </w:r>
          </w:p>
        </w:tc>
        <w:tc>
          <w:tcPr>
            <w:tcW w:w="1223" w:type="dxa"/>
            <w:gridSpan w:val="2"/>
            <w:tcBorders>
              <w:top w:val="single" w:color="auto" w:sz="4" w:space="0"/>
              <w:left w:val="single" w:color="auto" w:sz="4" w:space="0"/>
              <w:bottom w:val="single" w:color="auto" w:sz="4" w:space="0"/>
              <w:right w:val="single" w:color="auto" w:sz="4" w:space="0"/>
            </w:tcBorders>
            <w:vAlign w:val="center"/>
          </w:tcPr>
          <w:p w14:paraId="230B5970">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得分（满分100分）</w:t>
            </w:r>
          </w:p>
        </w:tc>
      </w:tr>
      <w:tr w14:paraId="6F5BB1B7">
        <w:tblPrEx>
          <w:tblCellMar>
            <w:top w:w="0" w:type="dxa"/>
            <w:left w:w="108" w:type="dxa"/>
            <w:bottom w:w="0" w:type="dxa"/>
            <w:right w:w="108" w:type="dxa"/>
          </w:tblCellMar>
        </w:tblPrEx>
        <w:trPr>
          <w:trHeight w:val="574" w:hRule="atLeast"/>
        </w:trPr>
        <w:tc>
          <w:tcPr>
            <w:tcW w:w="872" w:type="dxa"/>
            <w:vMerge w:val="restart"/>
            <w:tcBorders>
              <w:top w:val="single" w:color="auto" w:sz="4" w:space="0"/>
              <w:left w:val="single" w:color="auto" w:sz="4" w:space="0"/>
              <w:bottom w:val="single" w:color="auto" w:sz="4" w:space="0"/>
              <w:right w:val="single" w:color="auto" w:sz="4" w:space="0"/>
            </w:tcBorders>
            <w:vAlign w:val="center"/>
          </w:tcPr>
          <w:p w14:paraId="493FE49F">
            <w:pPr>
              <w:widowControl/>
              <w:spacing w:line="26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基本要求</w:t>
            </w:r>
          </w:p>
        </w:tc>
        <w:tc>
          <w:tcPr>
            <w:tcW w:w="4515" w:type="dxa"/>
            <w:tcBorders>
              <w:top w:val="single" w:color="auto" w:sz="4" w:space="0"/>
              <w:left w:val="single" w:color="auto" w:sz="4" w:space="0"/>
              <w:bottom w:val="single" w:color="auto" w:sz="4" w:space="0"/>
              <w:right w:val="single" w:color="auto" w:sz="4" w:space="0"/>
            </w:tcBorders>
            <w:vAlign w:val="center"/>
          </w:tcPr>
          <w:p w14:paraId="0EE94CBB">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对于检查发现的问题、甲方建议应及时做出整改。</w:t>
            </w:r>
          </w:p>
        </w:tc>
        <w:tc>
          <w:tcPr>
            <w:tcW w:w="1665" w:type="dxa"/>
            <w:gridSpan w:val="2"/>
            <w:tcBorders>
              <w:top w:val="single" w:color="auto" w:sz="4" w:space="0"/>
              <w:left w:val="single" w:color="auto" w:sz="4" w:space="0"/>
              <w:bottom w:val="single" w:color="auto" w:sz="4" w:space="0"/>
              <w:right w:val="single" w:color="auto" w:sz="4" w:space="0"/>
            </w:tcBorders>
            <w:vAlign w:val="center"/>
          </w:tcPr>
          <w:p w14:paraId="1AC66538">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720" w:type="dxa"/>
            <w:tcBorders>
              <w:top w:val="single" w:color="auto" w:sz="4" w:space="0"/>
              <w:left w:val="single" w:color="auto" w:sz="4" w:space="0"/>
              <w:bottom w:val="single" w:color="auto" w:sz="4" w:space="0"/>
              <w:right w:val="single" w:color="auto" w:sz="4" w:space="0"/>
            </w:tcBorders>
            <w:vAlign w:val="center"/>
          </w:tcPr>
          <w:p w14:paraId="130B4416">
            <w:pPr>
              <w:widowControl/>
              <w:spacing w:line="260" w:lineRule="exact"/>
              <w:ind w:firstLine="200"/>
              <w:jc w:val="center"/>
              <w:rPr>
                <w:rFonts w:hint="eastAsia" w:ascii="仿宋" w:hAnsi="仿宋" w:eastAsia="仿宋" w:cs="仿宋"/>
                <w:color w:val="000000"/>
                <w:sz w:val="28"/>
                <w:szCs w:val="28"/>
              </w:rPr>
            </w:pPr>
          </w:p>
        </w:tc>
        <w:tc>
          <w:tcPr>
            <w:tcW w:w="763" w:type="dxa"/>
            <w:gridSpan w:val="2"/>
            <w:tcBorders>
              <w:top w:val="single" w:color="auto" w:sz="4" w:space="0"/>
              <w:left w:val="single" w:color="auto" w:sz="4" w:space="0"/>
              <w:bottom w:val="single" w:color="auto" w:sz="4" w:space="0"/>
              <w:right w:val="single" w:color="auto" w:sz="4" w:space="0"/>
            </w:tcBorders>
            <w:vAlign w:val="center"/>
          </w:tcPr>
          <w:p w14:paraId="7A0E88E3">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5</w:t>
            </w:r>
          </w:p>
        </w:tc>
        <w:tc>
          <w:tcPr>
            <w:tcW w:w="1223" w:type="dxa"/>
            <w:gridSpan w:val="2"/>
            <w:tcBorders>
              <w:top w:val="single" w:color="auto" w:sz="4" w:space="0"/>
              <w:left w:val="single" w:color="auto" w:sz="4" w:space="0"/>
              <w:bottom w:val="single" w:color="auto" w:sz="4" w:space="0"/>
              <w:right w:val="single" w:color="auto" w:sz="4" w:space="0"/>
            </w:tcBorders>
            <w:vAlign w:val="center"/>
          </w:tcPr>
          <w:p w14:paraId="382F6165">
            <w:pPr>
              <w:widowControl/>
              <w:spacing w:line="260" w:lineRule="exact"/>
              <w:ind w:firstLine="200"/>
              <w:jc w:val="center"/>
              <w:rPr>
                <w:rFonts w:hint="eastAsia" w:ascii="仿宋" w:hAnsi="仿宋" w:eastAsia="仿宋" w:cs="仿宋"/>
                <w:color w:val="000000"/>
                <w:sz w:val="28"/>
                <w:szCs w:val="28"/>
              </w:rPr>
            </w:pPr>
          </w:p>
        </w:tc>
      </w:tr>
      <w:tr w14:paraId="54D3F602">
        <w:tblPrEx>
          <w:tblCellMar>
            <w:top w:w="0" w:type="dxa"/>
            <w:left w:w="108" w:type="dxa"/>
            <w:bottom w:w="0" w:type="dxa"/>
            <w:right w:w="108" w:type="dxa"/>
          </w:tblCellMar>
        </w:tblPrEx>
        <w:trPr>
          <w:trHeight w:val="574"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1BCB99B6">
            <w:pPr>
              <w:widowControl/>
              <w:spacing w:line="26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47E326E6">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必须按甲方认可的人数安排保洁人员。</w:t>
            </w:r>
          </w:p>
        </w:tc>
        <w:tc>
          <w:tcPr>
            <w:tcW w:w="1665" w:type="dxa"/>
            <w:gridSpan w:val="2"/>
            <w:tcBorders>
              <w:top w:val="single" w:color="auto" w:sz="4" w:space="0"/>
              <w:left w:val="single" w:color="auto" w:sz="4" w:space="0"/>
              <w:bottom w:val="single" w:color="auto" w:sz="4" w:space="0"/>
              <w:right w:val="single" w:color="auto" w:sz="4" w:space="0"/>
            </w:tcBorders>
            <w:vAlign w:val="center"/>
          </w:tcPr>
          <w:p w14:paraId="7F8380F4">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720" w:type="dxa"/>
            <w:tcBorders>
              <w:top w:val="single" w:color="auto" w:sz="4" w:space="0"/>
              <w:left w:val="single" w:color="auto" w:sz="4" w:space="0"/>
              <w:bottom w:val="single" w:color="auto" w:sz="4" w:space="0"/>
              <w:right w:val="single" w:color="auto" w:sz="4" w:space="0"/>
            </w:tcBorders>
            <w:vAlign w:val="center"/>
          </w:tcPr>
          <w:p w14:paraId="6C0401D0">
            <w:pPr>
              <w:widowControl/>
              <w:spacing w:line="260" w:lineRule="exact"/>
              <w:ind w:firstLine="200"/>
              <w:jc w:val="center"/>
              <w:rPr>
                <w:rFonts w:hint="eastAsia" w:ascii="仿宋" w:hAnsi="仿宋" w:eastAsia="仿宋" w:cs="仿宋"/>
                <w:color w:val="000000"/>
                <w:sz w:val="28"/>
                <w:szCs w:val="28"/>
              </w:rPr>
            </w:pPr>
          </w:p>
        </w:tc>
        <w:tc>
          <w:tcPr>
            <w:tcW w:w="763" w:type="dxa"/>
            <w:gridSpan w:val="2"/>
            <w:tcBorders>
              <w:top w:val="single" w:color="auto" w:sz="4" w:space="0"/>
              <w:left w:val="single" w:color="auto" w:sz="4" w:space="0"/>
              <w:bottom w:val="single" w:color="auto" w:sz="4" w:space="0"/>
              <w:right w:val="single" w:color="auto" w:sz="4" w:space="0"/>
            </w:tcBorders>
            <w:vAlign w:val="center"/>
          </w:tcPr>
          <w:p w14:paraId="0F7D6662">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5</w:t>
            </w:r>
          </w:p>
        </w:tc>
        <w:tc>
          <w:tcPr>
            <w:tcW w:w="1223" w:type="dxa"/>
            <w:gridSpan w:val="2"/>
            <w:tcBorders>
              <w:top w:val="single" w:color="auto" w:sz="4" w:space="0"/>
              <w:left w:val="single" w:color="auto" w:sz="4" w:space="0"/>
              <w:bottom w:val="single" w:color="auto" w:sz="4" w:space="0"/>
              <w:right w:val="single" w:color="auto" w:sz="4" w:space="0"/>
            </w:tcBorders>
            <w:vAlign w:val="center"/>
          </w:tcPr>
          <w:p w14:paraId="35BEA8D5">
            <w:pPr>
              <w:widowControl/>
              <w:spacing w:line="260" w:lineRule="exact"/>
              <w:ind w:firstLine="200"/>
              <w:jc w:val="center"/>
              <w:rPr>
                <w:rFonts w:hint="eastAsia" w:ascii="仿宋" w:hAnsi="仿宋" w:eastAsia="仿宋" w:cs="仿宋"/>
                <w:color w:val="000000"/>
                <w:sz w:val="28"/>
                <w:szCs w:val="28"/>
              </w:rPr>
            </w:pPr>
          </w:p>
        </w:tc>
      </w:tr>
      <w:tr w14:paraId="339726BC">
        <w:tblPrEx>
          <w:tblCellMar>
            <w:top w:w="0" w:type="dxa"/>
            <w:left w:w="108" w:type="dxa"/>
            <w:bottom w:w="0" w:type="dxa"/>
            <w:right w:w="108" w:type="dxa"/>
          </w:tblCellMar>
        </w:tblPrEx>
        <w:trPr>
          <w:trHeight w:val="574"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5F8518F2">
            <w:pPr>
              <w:widowControl/>
              <w:spacing w:line="26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6F66BB17">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统一服装，文明、主动服务， 佩戴胸牌上岗，在岗在位，不得串岗。</w:t>
            </w:r>
          </w:p>
        </w:tc>
        <w:tc>
          <w:tcPr>
            <w:tcW w:w="1665" w:type="dxa"/>
            <w:gridSpan w:val="2"/>
            <w:tcBorders>
              <w:top w:val="single" w:color="auto" w:sz="4" w:space="0"/>
              <w:left w:val="single" w:color="auto" w:sz="4" w:space="0"/>
              <w:bottom w:val="single" w:color="auto" w:sz="4" w:space="0"/>
              <w:right w:val="single" w:color="auto" w:sz="4" w:space="0"/>
            </w:tcBorders>
            <w:vAlign w:val="center"/>
          </w:tcPr>
          <w:p w14:paraId="492DA62E">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720" w:type="dxa"/>
            <w:tcBorders>
              <w:top w:val="single" w:color="auto" w:sz="4" w:space="0"/>
              <w:left w:val="single" w:color="auto" w:sz="4" w:space="0"/>
              <w:bottom w:val="single" w:color="auto" w:sz="4" w:space="0"/>
              <w:right w:val="single" w:color="auto" w:sz="4" w:space="0"/>
            </w:tcBorders>
            <w:vAlign w:val="center"/>
          </w:tcPr>
          <w:p w14:paraId="66FE5C84">
            <w:pPr>
              <w:widowControl/>
              <w:spacing w:line="260" w:lineRule="exact"/>
              <w:ind w:firstLine="200"/>
              <w:jc w:val="center"/>
              <w:rPr>
                <w:rFonts w:hint="eastAsia" w:ascii="仿宋" w:hAnsi="仿宋" w:eastAsia="仿宋" w:cs="仿宋"/>
                <w:color w:val="000000"/>
                <w:sz w:val="28"/>
                <w:szCs w:val="28"/>
              </w:rPr>
            </w:pPr>
          </w:p>
        </w:tc>
        <w:tc>
          <w:tcPr>
            <w:tcW w:w="763" w:type="dxa"/>
            <w:gridSpan w:val="2"/>
            <w:tcBorders>
              <w:top w:val="single" w:color="auto" w:sz="4" w:space="0"/>
              <w:left w:val="single" w:color="auto" w:sz="4" w:space="0"/>
              <w:bottom w:val="single" w:color="auto" w:sz="4" w:space="0"/>
              <w:right w:val="single" w:color="auto" w:sz="4" w:space="0"/>
            </w:tcBorders>
            <w:vAlign w:val="center"/>
          </w:tcPr>
          <w:p w14:paraId="503FF62F">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5</w:t>
            </w:r>
          </w:p>
        </w:tc>
        <w:tc>
          <w:tcPr>
            <w:tcW w:w="1223" w:type="dxa"/>
            <w:gridSpan w:val="2"/>
            <w:tcBorders>
              <w:top w:val="single" w:color="auto" w:sz="4" w:space="0"/>
              <w:left w:val="single" w:color="auto" w:sz="4" w:space="0"/>
              <w:bottom w:val="single" w:color="auto" w:sz="4" w:space="0"/>
              <w:right w:val="single" w:color="auto" w:sz="4" w:space="0"/>
            </w:tcBorders>
            <w:vAlign w:val="center"/>
          </w:tcPr>
          <w:p w14:paraId="23763195">
            <w:pPr>
              <w:widowControl/>
              <w:spacing w:line="260" w:lineRule="exact"/>
              <w:ind w:firstLine="200"/>
              <w:jc w:val="center"/>
              <w:rPr>
                <w:rFonts w:hint="eastAsia" w:ascii="仿宋" w:hAnsi="仿宋" w:eastAsia="仿宋" w:cs="仿宋"/>
                <w:color w:val="000000"/>
                <w:sz w:val="28"/>
                <w:szCs w:val="28"/>
              </w:rPr>
            </w:pPr>
          </w:p>
        </w:tc>
      </w:tr>
      <w:tr w14:paraId="33D6476A">
        <w:tblPrEx>
          <w:tblCellMar>
            <w:top w:w="0" w:type="dxa"/>
            <w:left w:w="108" w:type="dxa"/>
            <w:bottom w:w="0" w:type="dxa"/>
            <w:right w:w="108" w:type="dxa"/>
          </w:tblCellMar>
        </w:tblPrEx>
        <w:trPr>
          <w:trHeight w:val="574"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19F5BDB8">
            <w:pPr>
              <w:widowControl/>
              <w:spacing w:line="26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1B4D8813">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严格遵守甲方各项规章制度和注意事项。</w:t>
            </w:r>
          </w:p>
        </w:tc>
        <w:tc>
          <w:tcPr>
            <w:tcW w:w="1665" w:type="dxa"/>
            <w:gridSpan w:val="2"/>
            <w:tcBorders>
              <w:top w:val="single" w:color="auto" w:sz="4" w:space="0"/>
              <w:left w:val="single" w:color="auto" w:sz="4" w:space="0"/>
              <w:bottom w:val="single" w:color="auto" w:sz="4" w:space="0"/>
              <w:right w:val="single" w:color="auto" w:sz="4" w:space="0"/>
            </w:tcBorders>
            <w:vAlign w:val="center"/>
          </w:tcPr>
          <w:p w14:paraId="24388CFD">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720" w:type="dxa"/>
            <w:tcBorders>
              <w:top w:val="single" w:color="auto" w:sz="4" w:space="0"/>
              <w:left w:val="single" w:color="auto" w:sz="4" w:space="0"/>
              <w:bottom w:val="single" w:color="auto" w:sz="4" w:space="0"/>
              <w:right w:val="single" w:color="auto" w:sz="4" w:space="0"/>
            </w:tcBorders>
            <w:vAlign w:val="center"/>
          </w:tcPr>
          <w:p w14:paraId="7B3D91C0">
            <w:pPr>
              <w:widowControl/>
              <w:spacing w:line="260" w:lineRule="exact"/>
              <w:ind w:firstLine="200"/>
              <w:jc w:val="center"/>
              <w:rPr>
                <w:rFonts w:hint="eastAsia" w:ascii="仿宋" w:hAnsi="仿宋" w:eastAsia="仿宋" w:cs="仿宋"/>
                <w:color w:val="000000"/>
                <w:sz w:val="28"/>
                <w:szCs w:val="28"/>
              </w:rPr>
            </w:pPr>
          </w:p>
        </w:tc>
        <w:tc>
          <w:tcPr>
            <w:tcW w:w="763" w:type="dxa"/>
            <w:gridSpan w:val="2"/>
            <w:tcBorders>
              <w:top w:val="single" w:color="auto" w:sz="4" w:space="0"/>
              <w:left w:val="single" w:color="auto" w:sz="4" w:space="0"/>
              <w:bottom w:val="single" w:color="auto" w:sz="4" w:space="0"/>
              <w:right w:val="single" w:color="auto" w:sz="4" w:space="0"/>
            </w:tcBorders>
            <w:vAlign w:val="center"/>
          </w:tcPr>
          <w:p w14:paraId="7E0F2467">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5</w:t>
            </w:r>
          </w:p>
        </w:tc>
        <w:tc>
          <w:tcPr>
            <w:tcW w:w="1223" w:type="dxa"/>
            <w:gridSpan w:val="2"/>
            <w:tcBorders>
              <w:top w:val="single" w:color="auto" w:sz="4" w:space="0"/>
              <w:left w:val="single" w:color="auto" w:sz="4" w:space="0"/>
              <w:bottom w:val="single" w:color="auto" w:sz="4" w:space="0"/>
              <w:right w:val="single" w:color="auto" w:sz="4" w:space="0"/>
            </w:tcBorders>
            <w:vAlign w:val="center"/>
          </w:tcPr>
          <w:p w14:paraId="0E1C7EB9">
            <w:pPr>
              <w:widowControl/>
              <w:spacing w:line="260" w:lineRule="exact"/>
              <w:ind w:firstLine="200"/>
              <w:jc w:val="center"/>
              <w:rPr>
                <w:rFonts w:hint="eastAsia" w:ascii="仿宋" w:hAnsi="仿宋" w:eastAsia="仿宋" w:cs="仿宋"/>
                <w:color w:val="000000"/>
                <w:sz w:val="28"/>
                <w:szCs w:val="28"/>
              </w:rPr>
            </w:pPr>
          </w:p>
        </w:tc>
      </w:tr>
      <w:tr w14:paraId="03546979">
        <w:tblPrEx>
          <w:tblCellMar>
            <w:top w:w="0" w:type="dxa"/>
            <w:left w:w="108" w:type="dxa"/>
            <w:bottom w:w="0" w:type="dxa"/>
            <w:right w:w="108" w:type="dxa"/>
          </w:tblCellMar>
        </w:tblPrEx>
        <w:trPr>
          <w:trHeight w:val="574" w:hRule="atLeast"/>
        </w:trPr>
        <w:tc>
          <w:tcPr>
            <w:tcW w:w="872" w:type="dxa"/>
            <w:vMerge w:val="restart"/>
            <w:tcBorders>
              <w:top w:val="single" w:color="auto" w:sz="4" w:space="0"/>
              <w:left w:val="single" w:color="auto" w:sz="4" w:space="0"/>
              <w:bottom w:val="single" w:color="auto" w:sz="4" w:space="0"/>
              <w:right w:val="single" w:color="auto" w:sz="4" w:space="0"/>
            </w:tcBorders>
            <w:vAlign w:val="center"/>
          </w:tcPr>
          <w:p w14:paraId="51A6638C">
            <w:pPr>
              <w:widowControl/>
              <w:spacing w:line="26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保洁</w:t>
            </w:r>
          </w:p>
        </w:tc>
        <w:tc>
          <w:tcPr>
            <w:tcW w:w="4515" w:type="dxa"/>
            <w:tcBorders>
              <w:top w:val="single" w:color="auto" w:sz="4" w:space="0"/>
              <w:left w:val="single" w:color="auto" w:sz="4" w:space="0"/>
              <w:bottom w:val="single" w:color="auto" w:sz="4" w:space="0"/>
              <w:right w:val="single" w:color="auto" w:sz="4" w:space="0"/>
            </w:tcBorders>
            <w:vAlign w:val="center"/>
          </w:tcPr>
          <w:p w14:paraId="59F93FBB">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PVC、 大理石等地面干净、无垃圾、无浮灰、无烟蒂、无水迹、有光泽等。</w:t>
            </w:r>
          </w:p>
        </w:tc>
        <w:tc>
          <w:tcPr>
            <w:tcW w:w="1665" w:type="dxa"/>
            <w:gridSpan w:val="2"/>
            <w:tcBorders>
              <w:top w:val="single" w:color="auto" w:sz="4" w:space="0"/>
              <w:left w:val="single" w:color="auto" w:sz="4" w:space="0"/>
              <w:bottom w:val="single" w:color="auto" w:sz="4" w:space="0"/>
              <w:right w:val="single" w:color="auto" w:sz="4" w:space="0"/>
            </w:tcBorders>
            <w:vAlign w:val="center"/>
          </w:tcPr>
          <w:p w14:paraId="59793BFF">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720" w:type="dxa"/>
            <w:tcBorders>
              <w:top w:val="single" w:color="auto" w:sz="4" w:space="0"/>
              <w:left w:val="single" w:color="auto" w:sz="4" w:space="0"/>
              <w:bottom w:val="single" w:color="auto" w:sz="4" w:space="0"/>
              <w:right w:val="single" w:color="auto" w:sz="4" w:space="0"/>
            </w:tcBorders>
            <w:vAlign w:val="center"/>
          </w:tcPr>
          <w:p w14:paraId="1DC1F7F4">
            <w:pPr>
              <w:widowControl/>
              <w:spacing w:line="260" w:lineRule="exact"/>
              <w:ind w:firstLine="200"/>
              <w:jc w:val="center"/>
              <w:rPr>
                <w:rFonts w:hint="eastAsia" w:ascii="仿宋" w:hAnsi="仿宋" w:eastAsia="仿宋" w:cs="仿宋"/>
                <w:color w:val="000000"/>
                <w:sz w:val="28"/>
                <w:szCs w:val="28"/>
              </w:rPr>
            </w:pPr>
          </w:p>
        </w:tc>
        <w:tc>
          <w:tcPr>
            <w:tcW w:w="763" w:type="dxa"/>
            <w:gridSpan w:val="2"/>
            <w:tcBorders>
              <w:top w:val="single" w:color="auto" w:sz="4" w:space="0"/>
              <w:left w:val="single" w:color="auto" w:sz="4" w:space="0"/>
              <w:bottom w:val="single" w:color="auto" w:sz="4" w:space="0"/>
              <w:right w:val="single" w:color="auto" w:sz="4" w:space="0"/>
            </w:tcBorders>
            <w:vAlign w:val="center"/>
          </w:tcPr>
          <w:p w14:paraId="11E0A7DE">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4</w:t>
            </w:r>
          </w:p>
        </w:tc>
        <w:tc>
          <w:tcPr>
            <w:tcW w:w="1223" w:type="dxa"/>
            <w:gridSpan w:val="2"/>
            <w:tcBorders>
              <w:top w:val="single" w:color="auto" w:sz="4" w:space="0"/>
              <w:left w:val="single" w:color="auto" w:sz="4" w:space="0"/>
              <w:bottom w:val="single" w:color="auto" w:sz="4" w:space="0"/>
              <w:right w:val="single" w:color="auto" w:sz="4" w:space="0"/>
            </w:tcBorders>
            <w:vAlign w:val="center"/>
          </w:tcPr>
          <w:p w14:paraId="7A2D4735">
            <w:pPr>
              <w:widowControl/>
              <w:spacing w:line="260" w:lineRule="exact"/>
              <w:ind w:firstLine="200"/>
              <w:jc w:val="center"/>
              <w:rPr>
                <w:rFonts w:hint="eastAsia" w:ascii="仿宋" w:hAnsi="仿宋" w:eastAsia="仿宋" w:cs="仿宋"/>
                <w:color w:val="000000"/>
                <w:sz w:val="28"/>
                <w:szCs w:val="28"/>
              </w:rPr>
            </w:pPr>
          </w:p>
        </w:tc>
      </w:tr>
      <w:tr w14:paraId="73E7E23F">
        <w:tblPrEx>
          <w:tblCellMar>
            <w:top w:w="0" w:type="dxa"/>
            <w:left w:w="108" w:type="dxa"/>
            <w:bottom w:w="0" w:type="dxa"/>
            <w:right w:w="108" w:type="dxa"/>
          </w:tblCellMar>
        </w:tblPrEx>
        <w:trPr>
          <w:trHeight w:val="574"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79765F73">
            <w:pPr>
              <w:widowControl/>
              <w:spacing w:line="26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5F654084">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墙壁、 墙砖没有浮灰、蜘蛛网、污渍、水迹， 标识标牌干净无浮灰，内外玻璃洁净光亮，窗槽没有烟灰等杂物。</w:t>
            </w:r>
          </w:p>
        </w:tc>
        <w:tc>
          <w:tcPr>
            <w:tcW w:w="1665" w:type="dxa"/>
            <w:gridSpan w:val="2"/>
            <w:tcBorders>
              <w:top w:val="single" w:color="auto" w:sz="4" w:space="0"/>
              <w:left w:val="single" w:color="auto" w:sz="4" w:space="0"/>
              <w:bottom w:val="single" w:color="auto" w:sz="4" w:space="0"/>
              <w:right w:val="single" w:color="auto" w:sz="4" w:space="0"/>
            </w:tcBorders>
            <w:vAlign w:val="center"/>
          </w:tcPr>
          <w:p w14:paraId="2AE73DDA">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720" w:type="dxa"/>
            <w:tcBorders>
              <w:top w:val="single" w:color="auto" w:sz="4" w:space="0"/>
              <w:left w:val="single" w:color="auto" w:sz="4" w:space="0"/>
              <w:bottom w:val="single" w:color="auto" w:sz="4" w:space="0"/>
              <w:right w:val="single" w:color="auto" w:sz="4" w:space="0"/>
            </w:tcBorders>
            <w:vAlign w:val="center"/>
          </w:tcPr>
          <w:p w14:paraId="6325B4D0">
            <w:pPr>
              <w:widowControl/>
              <w:spacing w:line="260" w:lineRule="exact"/>
              <w:ind w:firstLine="200"/>
              <w:jc w:val="center"/>
              <w:rPr>
                <w:rFonts w:hint="eastAsia" w:ascii="仿宋" w:hAnsi="仿宋" w:eastAsia="仿宋" w:cs="仿宋"/>
                <w:color w:val="000000"/>
                <w:sz w:val="28"/>
                <w:szCs w:val="28"/>
              </w:rPr>
            </w:pPr>
          </w:p>
        </w:tc>
        <w:tc>
          <w:tcPr>
            <w:tcW w:w="763" w:type="dxa"/>
            <w:gridSpan w:val="2"/>
            <w:tcBorders>
              <w:top w:val="single" w:color="auto" w:sz="4" w:space="0"/>
              <w:left w:val="single" w:color="auto" w:sz="4" w:space="0"/>
              <w:bottom w:val="single" w:color="auto" w:sz="4" w:space="0"/>
              <w:right w:val="single" w:color="auto" w:sz="4" w:space="0"/>
            </w:tcBorders>
            <w:vAlign w:val="center"/>
          </w:tcPr>
          <w:p w14:paraId="122C3CEA">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4</w:t>
            </w:r>
          </w:p>
        </w:tc>
        <w:tc>
          <w:tcPr>
            <w:tcW w:w="1223" w:type="dxa"/>
            <w:gridSpan w:val="2"/>
            <w:tcBorders>
              <w:top w:val="single" w:color="auto" w:sz="4" w:space="0"/>
              <w:left w:val="single" w:color="auto" w:sz="4" w:space="0"/>
              <w:bottom w:val="single" w:color="auto" w:sz="4" w:space="0"/>
              <w:right w:val="single" w:color="auto" w:sz="4" w:space="0"/>
            </w:tcBorders>
            <w:vAlign w:val="center"/>
          </w:tcPr>
          <w:p w14:paraId="54D0B0C7">
            <w:pPr>
              <w:widowControl/>
              <w:spacing w:line="260" w:lineRule="exact"/>
              <w:ind w:firstLine="200"/>
              <w:jc w:val="center"/>
              <w:rPr>
                <w:rFonts w:hint="eastAsia" w:ascii="仿宋" w:hAnsi="仿宋" w:eastAsia="仿宋" w:cs="仿宋"/>
                <w:color w:val="000000"/>
                <w:sz w:val="28"/>
                <w:szCs w:val="28"/>
              </w:rPr>
            </w:pPr>
          </w:p>
        </w:tc>
      </w:tr>
      <w:tr w14:paraId="09937857">
        <w:tblPrEx>
          <w:tblCellMar>
            <w:top w:w="0" w:type="dxa"/>
            <w:left w:w="108" w:type="dxa"/>
            <w:bottom w:w="0" w:type="dxa"/>
            <w:right w:w="108" w:type="dxa"/>
          </w:tblCellMar>
        </w:tblPrEx>
        <w:trPr>
          <w:trHeight w:val="574"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5029E56E">
            <w:pPr>
              <w:widowControl/>
              <w:spacing w:line="26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6BB0753A">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走廊、楼梯间干净整洁，扶手没有浮灰，地面没有烟头。</w:t>
            </w:r>
          </w:p>
        </w:tc>
        <w:tc>
          <w:tcPr>
            <w:tcW w:w="1665" w:type="dxa"/>
            <w:gridSpan w:val="2"/>
            <w:tcBorders>
              <w:top w:val="single" w:color="auto" w:sz="4" w:space="0"/>
              <w:left w:val="single" w:color="auto" w:sz="4" w:space="0"/>
              <w:bottom w:val="single" w:color="auto" w:sz="4" w:space="0"/>
              <w:right w:val="single" w:color="auto" w:sz="4" w:space="0"/>
            </w:tcBorders>
            <w:vAlign w:val="center"/>
          </w:tcPr>
          <w:p w14:paraId="752289E8">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720" w:type="dxa"/>
            <w:tcBorders>
              <w:top w:val="single" w:color="auto" w:sz="4" w:space="0"/>
              <w:left w:val="single" w:color="auto" w:sz="4" w:space="0"/>
              <w:bottom w:val="single" w:color="auto" w:sz="4" w:space="0"/>
              <w:right w:val="single" w:color="auto" w:sz="4" w:space="0"/>
            </w:tcBorders>
            <w:vAlign w:val="center"/>
          </w:tcPr>
          <w:p w14:paraId="12D95E55">
            <w:pPr>
              <w:widowControl/>
              <w:spacing w:line="260" w:lineRule="exact"/>
              <w:ind w:firstLine="200"/>
              <w:jc w:val="center"/>
              <w:rPr>
                <w:rFonts w:hint="eastAsia" w:ascii="仿宋" w:hAnsi="仿宋" w:eastAsia="仿宋" w:cs="仿宋"/>
                <w:color w:val="000000"/>
                <w:sz w:val="28"/>
                <w:szCs w:val="28"/>
              </w:rPr>
            </w:pPr>
          </w:p>
        </w:tc>
        <w:tc>
          <w:tcPr>
            <w:tcW w:w="763" w:type="dxa"/>
            <w:gridSpan w:val="2"/>
            <w:tcBorders>
              <w:top w:val="single" w:color="auto" w:sz="4" w:space="0"/>
              <w:left w:val="single" w:color="auto" w:sz="4" w:space="0"/>
              <w:bottom w:val="single" w:color="auto" w:sz="4" w:space="0"/>
              <w:right w:val="single" w:color="auto" w:sz="4" w:space="0"/>
            </w:tcBorders>
            <w:vAlign w:val="center"/>
          </w:tcPr>
          <w:p w14:paraId="7E49FD5E">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4</w:t>
            </w:r>
          </w:p>
        </w:tc>
        <w:tc>
          <w:tcPr>
            <w:tcW w:w="1223" w:type="dxa"/>
            <w:gridSpan w:val="2"/>
            <w:tcBorders>
              <w:top w:val="single" w:color="auto" w:sz="4" w:space="0"/>
              <w:left w:val="single" w:color="auto" w:sz="4" w:space="0"/>
              <w:bottom w:val="single" w:color="auto" w:sz="4" w:space="0"/>
              <w:right w:val="single" w:color="auto" w:sz="4" w:space="0"/>
            </w:tcBorders>
            <w:vAlign w:val="center"/>
          </w:tcPr>
          <w:p w14:paraId="0D7F4356">
            <w:pPr>
              <w:widowControl/>
              <w:spacing w:line="260" w:lineRule="exact"/>
              <w:ind w:firstLine="200"/>
              <w:jc w:val="center"/>
              <w:rPr>
                <w:rFonts w:hint="eastAsia" w:ascii="仿宋" w:hAnsi="仿宋" w:eastAsia="仿宋" w:cs="仿宋"/>
                <w:color w:val="000000"/>
                <w:sz w:val="28"/>
                <w:szCs w:val="28"/>
              </w:rPr>
            </w:pPr>
          </w:p>
        </w:tc>
      </w:tr>
      <w:tr w14:paraId="6E96B499">
        <w:tblPrEx>
          <w:tblCellMar>
            <w:top w:w="0" w:type="dxa"/>
            <w:left w:w="108" w:type="dxa"/>
            <w:bottom w:w="0" w:type="dxa"/>
            <w:right w:w="108" w:type="dxa"/>
          </w:tblCellMar>
        </w:tblPrEx>
        <w:trPr>
          <w:trHeight w:val="574"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06D50FB6">
            <w:pPr>
              <w:widowControl/>
              <w:spacing w:line="26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604D6F62">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处置间无异味、无污垢等，垃圾袋定时更换。</w:t>
            </w:r>
          </w:p>
        </w:tc>
        <w:tc>
          <w:tcPr>
            <w:tcW w:w="1665" w:type="dxa"/>
            <w:gridSpan w:val="2"/>
            <w:tcBorders>
              <w:top w:val="single" w:color="auto" w:sz="4" w:space="0"/>
              <w:left w:val="single" w:color="auto" w:sz="4" w:space="0"/>
              <w:bottom w:val="single" w:color="auto" w:sz="4" w:space="0"/>
              <w:right w:val="single" w:color="auto" w:sz="4" w:space="0"/>
            </w:tcBorders>
            <w:vAlign w:val="center"/>
          </w:tcPr>
          <w:p w14:paraId="6BF6BD87">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720" w:type="dxa"/>
            <w:tcBorders>
              <w:top w:val="single" w:color="auto" w:sz="4" w:space="0"/>
              <w:left w:val="single" w:color="auto" w:sz="4" w:space="0"/>
              <w:bottom w:val="single" w:color="auto" w:sz="4" w:space="0"/>
              <w:right w:val="single" w:color="auto" w:sz="4" w:space="0"/>
            </w:tcBorders>
            <w:vAlign w:val="center"/>
          </w:tcPr>
          <w:p w14:paraId="402C6A14">
            <w:pPr>
              <w:widowControl/>
              <w:spacing w:line="260" w:lineRule="exact"/>
              <w:ind w:firstLine="200"/>
              <w:jc w:val="center"/>
              <w:rPr>
                <w:rFonts w:hint="eastAsia" w:ascii="仿宋" w:hAnsi="仿宋" w:eastAsia="仿宋" w:cs="仿宋"/>
                <w:color w:val="000000"/>
                <w:sz w:val="28"/>
                <w:szCs w:val="28"/>
              </w:rPr>
            </w:pPr>
          </w:p>
        </w:tc>
        <w:tc>
          <w:tcPr>
            <w:tcW w:w="763" w:type="dxa"/>
            <w:gridSpan w:val="2"/>
            <w:tcBorders>
              <w:top w:val="single" w:color="auto" w:sz="4" w:space="0"/>
              <w:left w:val="single" w:color="auto" w:sz="4" w:space="0"/>
              <w:bottom w:val="single" w:color="auto" w:sz="4" w:space="0"/>
              <w:right w:val="single" w:color="auto" w:sz="4" w:space="0"/>
            </w:tcBorders>
            <w:vAlign w:val="center"/>
          </w:tcPr>
          <w:p w14:paraId="30A23A8F">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4</w:t>
            </w:r>
          </w:p>
        </w:tc>
        <w:tc>
          <w:tcPr>
            <w:tcW w:w="1223" w:type="dxa"/>
            <w:gridSpan w:val="2"/>
            <w:tcBorders>
              <w:top w:val="single" w:color="auto" w:sz="4" w:space="0"/>
              <w:left w:val="single" w:color="auto" w:sz="4" w:space="0"/>
              <w:bottom w:val="single" w:color="auto" w:sz="4" w:space="0"/>
              <w:right w:val="single" w:color="auto" w:sz="4" w:space="0"/>
            </w:tcBorders>
            <w:vAlign w:val="center"/>
          </w:tcPr>
          <w:p w14:paraId="70A1FE59">
            <w:pPr>
              <w:widowControl/>
              <w:spacing w:line="260" w:lineRule="exact"/>
              <w:ind w:firstLine="200"/>
              <w:jc w:val="center"/>
              <w:rPr>
                <w:rFonts w:hint="eastAsia" w:ascii="仿宋" w:hAnsi="仿宋" w:eastAsia="仿宋" w:cs="仿宋"/>
                <w:color w:val="000000"/>
                <w:sz w:val="28"/>
                <w:szCs w:val="28"/>
              </w:rPr>
            </w:pPr>
          </w:p>
        </w:tc>
      </w:tr>
      <w:tr w14:paraId="2D209F4B">
        <w:tblPrEx>
          <w:tblCellMar>
            <w:top w:w="0" w:type="dxa"/>
            <w:left w:w="108" w:type="dxa"/>
            <w:bottom w:w="0" w:type="dxa"/>
            <w:right w:w="108" w:type="dxa"/>
          </w:tblCellMar>
        </w:tblPrEx>
        <w:trPr>
          <w:trHeight w:val="574"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089EB873">
            <w:pPr>
              <w:widowControl/>
              <w:spacing w:line="26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36D94AB5">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电梯门、轿厢内表面无灰尘、无污迹、无手印、 洁净光亮。 电梯厢地面无垃圾、纸屑、 烟头、杂物等。风扇及时擦拭，没有灰尘。</w:t>
            </w:r>
          </w:p>
        </w:tc>
        <w:tc>
          <w:tcPr>
            <w:tcW w:w="1665" w:type="dxa"/>
            <w:gridSpan w:val="2"/>
            <w:tcBorders>
              <w:top w:val="single" w:color="auto" w:sz="4" w:space="0"/>
              <w:left w:val="single" w:color="auto" w:sz="4" w:space="0"/>
              <w:bottom w:val="single" w:color="auto" w:sz="4" w:space="0"/>
              <w:right w:val="single" w:color="auto" w:sz="4" w:space="0"/>
            </w:tcBorders>
            <w:vAlign w:val="center"/>
          </w:tcPr>
          <w:p w14:paraId="0BA2290C">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720" w:type="dxa"/>
            <w:tcBorders>
              <w:top w:val="single" w:color="auto" w:sz="4" w:space="0"/>
              <w:left w:val="single" w:color="auto" w:sz="4" w:space="0"/>
              <w:bottom w:val="single" w:color="auto" w:sz="4" w:space="0"/>
              <w:right w:val="single" w:color="auto" w:sz="4" w:space="0"/>
            </w:tcBorders>
            <w:vAlign w:val="center"/>
          </w:tcPr>
          <w:p w14:paraId="4EE9E1E0">
            <w:pPr>
              <w:widowControl/>
              <w:spacing w:line="260" w:lineRule="exact"/>
              <w:ind w:firstLine="200"/>
              <w:jc w:val="center"/>
              <w:rPr>
                <w:rFonts w:hint="eastAsia" w:ascii="仿宋" w:hAnsi="仿宋" w:eastAsia="仿宋" w:cs="仿宋"/>
                <w:color w:val="000000"/>
                <w:sz w:val="28"/>
                <w:szCs w:val="28"/>
              </w:rPr>
            </w:pPr>
          </w:p>
        </w:tc>
        <w:tc>
          <w:tcPr>
            <w:tcW w:w="763" w:type="dxa"/>
            <w:gridSpan w:val="2"/>
            <w:tcBorders>
              <w:top w:val="single" w:color="auto" w:sz="4" w:space="0"/>
              <w:left w:val="single" w:color="auto" w:sz="4" w:space="0"/>
              <w:bottom w:val="single" w:color="auto" w:sz="4" w:space="0"/>
              <w:right w:val="single" w:color="auto" w:sz="4" w:space="0"/>
            </w:tcBorders>
            <w:vAlign w:val="center"/>
          </w:tcPr>
          <w:p w14:paraId="5609D680">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4</w:t>
            </w:r>
          </w:p>
        </w:tc>
        <w:tc>
          <w:tcPr>
            <w:tcW w:w="1223" w:type="dxa"/>
            <w:gridSpan w:val="2"/>
            <w:tcBorders>
              <w:top w:val="single" w:color="auto" w:sz="4" w:space="0"/>
              <w:left w:val="single" w:color="auto" w:sz="4" w:space="0"/>
              <w:bottom w:val="single" w:color="auto" w:sz="4" w:space="0"/>
              <w:right w:val="single" w:color="auto" w:sz="4" w:space="0"/>
            </w:tcBorders>
            <w:vAlign w:val="center"/>
          </w:tcPr>
          <w:p w14:paraId="26D721D9">
            <w:pPr>
              <w:widowControl/>
              <w:spacing w:line="260" w:lineRule="exact"/>
              <w:ind w:firstLine="200"/>
              <w:jc w:val="center"/>
              <w:rPr>
                <w:rFonts w:hint="eastAsia" w:ascii="仿宋" w:hAnsi="仿宋" w:eastAsia="仿宋" w:cs="仿宋"/>
                <w:color w:val="000000"/>
                <w:sz w:val="28"/>
                <w:szCs w:val="28"/>
              </w:rPr>
            </w:pPr>
          </w:p>
        </w:tc>
      </w:tr>
      <w:tr w14:paraId="1E055A63">
        <w:tblPrEx>
          <w:tblCellMar>
            <w:top w:w="0" w:type="dxa"/>
            <w:left w:w="108" w:type="dxa"/>
            <w:bottom w:w="0" w:type="dxa"/>
            <w:right w:w="108" w:type="dxa"/>
          </w:tblCellMar>
        </w:tblPrEx>
        <w:trPr>
          <w:trHeight w:val="574"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184E9165">
            <w:pPr>
              <w:widowControl/>
              <w:spacing w:line="26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4C6EEE22">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诊察桌、输液椅、输液架无积灰、无污渍等。</w:t>
            </w:r>
          </w:p>
        </w:tc>
        <w:tc>
          <w:tcPr>
            <w:tcW w:w="1665" w:type="dxa"/>
            <w:gridSpan w:val="2"/>
            <w:tcBorders>
              <w:top w:val="single" w:color="auto" w:sz="4" w:space="0"/>
              <w:left w:val="single" w:color="auto" w:sz="4" w:space="0"/>
              <w:bottom w:val="single" w:color="auto" w:sz="4" w:space="0"/>
              <w:right w:val="single" w:color="auto" w:sz="4" w:space="0"/>
            </w:tcBorders>
            <w:vAlign w:val="center"/>
          </w:tcPr>
          <w:p w14:paraId="19AE7442">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720" w:type="dxa"/>
            <w:tcBorders>
              <w:top w:val="single" w:color="auto" w:sz="4" w:space="0"/>
              <w:left w:val="single" w:color="auto" w:sz="4" w:space="0"/>
              <w:bottom w:val="single" w:color="auto" w:sz="4" w:space="0"/>
              <w:right w:val="single" w:color="auto" w:sz="4" w:space="0"/>
            </w:tcBorders>
            <w:vAlign w:val="center"/>
          </w:tcPr>
          <w:p w14:paraId="747120A3">
            <w:pPr>
              <w:widowControl/>
              <w:spacing w:line="260" w:lineRule="exact"/>
              <w:ind w:firstLine="200"/>
              <w:jc w:val="center"/>
              <w:rPr>
                <w:rFonts w:hint="eastAsia" w:ascii="仿宋" w:hAnsi="仿宋" w:eastAsia="仿宋" w:cs="仿宋"/>
                <w:color w:val="000000"/>
                <w:sz w:val="28"/>
                <w:szCs w:val="28"/>
              </w:rPr>
            </w:pPr>
          </w:p>
        </w:tc>
        <w:tc>
          <w:tcPr>
            <w:tcW w:w="763" w:type="dxa"/>
            <w:gridSpan w:val="2"/>
            <w:tcBorders>
              <w:top w:val="single" w:color="auto" w:sz="4" w:space="0"/>
              <w:left w:val="single" w:color="auto" w:sz="4" w:space="0"/>
              <w:bottom w:val="single" w:color="auto" w:sz="4" w:space="0"/>
              <w:right w:val="single" w:color="auto" w:sz="4" w:space="0"/>
            </w:tcBorders>
            <w:vAlign w:val="center"/>
          </w:tcPr>
          <w:p w14:paraId="109437E3">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4</w:t>
            </w:r>
          </w:p>
        </w:tc>
        <w:tc>
          <w:tcPr>
            <w:tcW w:w="1223" w:type="dxa"/>
            <w:gridSpan w:val="2"/>
            <w:tcBorders>
              <w:top w:val="single" w:color="auto" w:sz="4" w:space="0"/>
              <w:left w:val="single" w:color="auto" w:sz="4" w:space="0"/>
              <w:bottom w:val="single" w:color="auto" w:sz="4" w:space="0"/>
              <w:right w:val="single" w:color="auto" w:sz="4" w:space="0"/>
            </w:tcBorders>
            <w:vAlign w:val="center"/>
          </w:tcPr>
          <w:p w14:paraId="3088484C">
            <w:pPr>
              <w:widowControl/>
              <w:spacing w:line="260" w:lineRule="exact"/>
              <w:ind w:firstLine="200"/>
              <w:jc w:val="center"/>
              <w:rPr>
                <w:rFonts w:hint="eastAsia" w:ascii="仿宋" w:hAnsi="仿宋" w:eastAsia="仿宋" w:cs="仿宋"/>
                <w:color w:val="000000"/>
                <w:sz w:val="28"/>
                <w:szCs w:val="28"/>
              </w:rPr>
            </w:pPr>
          </w:p>
        </w:tc>
      </w:tr>
      <w:tr w14:paraId="1F939E06">
        <w:tblPrEx>
          <w:tblCellMar>
            <w:top w:w="0" w:type="dxa"/>
            <w:left w:w="108" w:type="dxa"/>
            <w:bottom w:w="0" w:type="dxa"/>
            <w:right w:w="108" w:type="dxa"/>
          </w:tblCellMar>
        </w:tblPrEx>
        <w:trPr>
          <w:trHeight w:val="574"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74514CB6">
            <w:pPr>
              <w:widowControl/>
              <w:spacing w:line="26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7A11842B">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轮椅、推车无结灰、无异响等。</w:t>
            </w:r>
          </w:p>
        </w:tc>
        <w:tc>
          <w:tcPr>
            <w:tcW w:w="1665" w:type="dxa"/>
            <w:gridSpan w:val="2"/>
            <w:tcBorders>
              <w:top w:val="single" w:color="auto" w:sz="4" w:space="0"/>
              <w:left w:val="single" w:color="auto" w:sz="4" w:space="0"/>
              <w:bottom w:val="single" w:color="auto" w:sz="4" w:space="0"/>
              <w:right w:val="single" w:color="auto" w:sz="4" w:space="0"/>
            </w:tcBorders>
            <w:vAlign w:val="center"/>
          </w:tcPr>
          <w:p w14:paraId="03A4A721">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720" w:type="dxa"/>
            <w:tcBorders>
              <w:top w:val="single" w:color="auto" w:sz="4" w:space="0"/>
              <w:left w:val="single" w:color="auto" w:sz="4" w:space="0"/>
              <w:bottom w:val="single" w:color="auto" w:sz="4" w:space="0"/>
              <w:right w:val="single" w:color="auto" w:sz="4" w:space="0"/>
            </w:tcBorders>
            <w:vAlign w:val="center"/>
          </w:tcPr>
          <w:p w14:paraId="7EA77D15">
            <w:pPr>
              <w:widowControl/>
              <w:spacing w:line="260" w:lineRule="exact"/>
              <w:ind w:firstLine="200"/>
              <w:jc w:val="center"/>
              <w:rPr>
                <w:rFonts w:hint="eastAsia" w:ascii="仿宋" w:hAnsi="仿宋" w:eastAsia="仿宋" w:cs="仿宋"/>
                <w:color w:val="000000"/>
                <w:sz w:val="28"/>
                <w:szCs w:val="28"/>
              </w:rPr>
            </w:pPr>
          </w:p>
        </w:tc>
        <w:tc>
          <w:tcPr>
            <w:tcW w:w="763" w:type="dxa"/>
            <w:gridSpan w:val="2"/>
            <w:tcBorders>
              <w:top w:val="single" w:color="auto" w:sz="4" w:space="0"/>
              <w:left w:val="single" w:color="auto" w:sz="4" w:space="0"/>
              <w:bottom w:val="single" w:color="auto" w:sz="4" w:space="0"/>
              <w:right w:val="single" w:color="auto" w:sz="4" w:space="0"/>
            </w:tcBorders>
            <w:vAlign w:val="center"/>
          </w:tcPr>
          <w:p w14:paraId="361DCECF">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4</w:t>
            </w:r>
          </w:p>
        </w:tc>
        <w:tc>
          <w:tcPr>
            <w:tcW w:w="1223" w:type="dxa"/>
            <w:gridSpan w:val="2"/>
            <w:tcBorders>
              <w:top w:val="single" w:color="auto" w:sz="4" w:space="0"/>
              <w:left w:val="single" w:color="auto" w:sz="4" w:space="0"/>
              <w:bottom w:val="single" w:color="auto" w:sz="4" w:space="0"/>
              <w:right w:val="single" w:color="auto" w:sz="4" w:space="0"/>
            </w:tcBorders>
            <w:vAlign w:val="center"/>
          </w:tcPr>
          <w:p w14:paraId="14628121">
            <w:pPr>
              <w:widowControl/>
              <w:spacing w:line="260" w:lineRule="exact"/>
              <w:ind w:firstLine="200"/>
              <w:jc w:val="center"/>
              <w:rPr>
                <w:rFonts w:hint="eastAsia" w:ascii="仿宋" w:hAnsi="仿宋" w:eastAsia="仿宋" w:cs="仿宋"/>
                <w:color w:val="000000"/>
                <w:sz w:val="28"/>
                <w:szCs w:val="28"/>
              </w:rPr>
            </w:pPr>
          </w:p>
        </w:tc>
      </w:tr>
      <w:tr w14:paraId="2704EF23">
        <w:tblPrEx>
          <w:tblCellMar>
            <w:top w:w="0" w:type="dxa"/>
            <w:left w:w="108" w:type="dxa"/>
            <w:bottom w:w="0" w:type="dxa"/>
            <w:right w:w="108" w:type="dxa"/>
          </w:tblCellMar>
        </w:tblPrEx>
        <w:trPr>
          <w:trHeight w:val="574"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44597FA8">
            <w:pPr>
              <w:widowControl/>
              <w:spacing w:line="26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36BC1F99">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天花板、出风口干净，没有蛛网、没有黑斑、霉点。</w:t>
            </w:r>
          </w:p>
        </w:tc>
        <w:tc>
          <w:tcPr>
            <w:tcW w:w="1665" w:type="dxa"/>
            <w:gridSpan w:val="2"/>
            <w:tcBorders>
              <w:top w:val="single" w:color="auto" w:sz="4" w:space="0"/>
              <w:left w:val="single" w:color="auto" w:sz="4" w:space="0"/>
              <w:bottom w:val="single" w:color="auto" w:sz="4" w:space="0"/>
              <w:right w:val="single" w:color="auto" w:sz="4" w:space="0"/>
            </w:tcBorders>
            <w:vAlign w:val="center"/>
          </w:tcPr>
          <w:p w14:paraId="45C834BA">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720" w:type="dxa"/>
            <w:tcBorders>
              <w:top w:val="single" w:color="auto" w:sz="4" w:space="0"/>
              <w:left w:val="single" w:color="auto" w:sz="4" w:space="0"/>
              <w:bottom w:val="single" w:color="auto" w:sz="4" w:space="0"/>
              <w:right w:val="single" w:color="auto" w:sz="4" w:space="0"/>
            </w:tcBorders>
            <w:vAlign w:val="center"/>
          </w:tcPr>
          <w:p w14:paraId="0369E16E">
            <w:pPr>
              <w:widowControl/>
              <w:spacing w:line="260" w:lineRule="exact"/>
              <w:ind w:firstLine="200"/>
              <w:jc w:val="center"/>
              <w:rPr>
                <w:rFonts w:hint="eastAsia" w:ascii="仿宋" w:hAnsi="仿宋" w:eastAsia="仿宋" w:cs="仿宋"/>
                <w:color w:val="000000"/>
                <w:sz w:val="28"/>
                <w:szCs w:val="28"/>
              </w:rPr>
            </w:pPr>
          </w:p>
        </w:tc>
        <w:tc>
          <w:tcPr>
            <w:tcW w:w="763" w:type="dxa"/>
            <w:gridSpan w:val="2"/>
            <w:tcBorders>
              <w:top w:val="single" w:color="auto" w:sz="4" w:space="0"/>
              <w:left w:val="single" w:color="auto" w:sz="4" w:space="0"/>
              <w:bottom w:val="single" w:color="auto" w:sz="4" w:space="0"/>
              <w:right w:val="single" w:color="auto" w:sz="4" w:space="0"/>
            </w:tcBorders>
            <w:vAlign w:val="center"/>
          </w:tcPr>
          <w:p w14:paraId="409846D1">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4</w:t>
            </w:r>
          </w:p>
        </w:tc>
        <w:tc>
          <w:tcPr>
            <w:tcW w:w="1223" w:type="dxa"/>
            <w:gridSpan w:val="2"/>
            <w:tcBorders>
              <w:top w:val="single" w:color="auto" w:sz="4" w:space="0"/>
              <w:left w:val="single" w:color="auto" w:sz="4" w:space="0"/>
              <w:bottom w:val="single" w:color="auto" w:sz="4" w:space="0"/>
              <w:right w:val="single" w:color="auto" w:sz="4" w:space="0"/>
            </w:tcBorders>
            <w:vAlign w:val="center"/>
          </w:tcPr>
          <w:p w14:paraId="6F327943">
            <w:pPr>
              <w:widowControl/>
              <w:spacing w:line="260" w:lineRule="exact"/>
              <w:ind w:firstLine="200"/>
              <w:jc w:val="center"/>
              <w:rPr>
                <w:rFonts w:hint="eastAsia" w:ascii="仿宋" w:hAnsi="仿宋" w:eastAsia="仿宋" w:cs="仿宋"/>
                <w:color w:val="000000"/>
                <w:sz w:val="28"/>
                <w:szCs w:val="28"/>
              </w:rPr>
            </w:pPr>
          </w:p>
        </w:tc>
      </w:tr>
      <w:tr w14:paraId="5CEA6574">
        <w:tblPrEx>
          <w:tblCellMar>
            <w:top w:w="0" w:type="dxa"/>
            <w:left w:w="108" w:type="dxa"/>
            <w:bottom w:w="0" w:type="dxa"/>
            <w:right w:w="108" w:type="dxa"/>
          </w:tblCellMar>
        </w:tblPrEx>
        <w:trPr>
          <w:trHeight w:val="574"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397A6D02">
            <w:pPr>
              <w:widowControl/>
              <w:spacing w:line="26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1E60965A">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中央空调风口、灯具无污渍，无积灰等，过滤网每月清洗。</w:t>
            </w:r>
          </w:p>
        </w:tc>
        <w:tc>
          <w:tcPr>
            <w:tcW w:w="1665" w:type="dxa"/>
            <w:gridSpan w:val="2"/>
            <w:tcBorders>
              <w:top w:val="single" w:color="auto" w:sz="4" w:space="0"/>
              <w:left w:val="single" w:color="auto" w:sz="4" w:space="0"/>
              <w:bottom w:val="single" w:color="auto" w:sz="4" w:space="0"/>
              <w:right w:val="single" w:color="auto" w:sz="4" w:space="0"/>
            </w:tcBorders>
            <w:vAlign w:val="center"/>
          </w:tcPr>
          <w:p w14:paraId="1467DA91">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720" w:type="dxa"/>
            <w:tcBorders>
              <w:top w:val="single" w:color="auto" w:sz="4" w:space="0"/>
              <w:left w:val="single" w:color="auto" w:sz="4" w:space="0"/>
              <w:bottom w:val="single" w:color="auto" w:sz="4" w:space="0"/>
              <w:right w:val="single" w:color="auto" w:sz="4" w:space="0"/>
            </w:tcBorders>
            <w:vAlign w:val="center"/>
          </w:tcPr>
          <w:p w14:paraId="51A30FA4">
            <w:pPr>
              <w:widowControl/>
              <w:spacing w:line="260" w:lineRule="exact"/>
              <w:ind w:firstLine="200"/>
              <w:jc w:val="center"/>
              <w:rPr>
                <w:rFonts w:hint="eastAsia" w:ascii="仿宋" w:hAnsi="仿宋" w:eastAsia="仿宋" w:cs="仿宋"/>
                <w:color w:val="000000"/>
                <w:sz w:val="28"/>
                <w:szCs w:val="28"/>
              </w:rPr>
            </w:pPr>
          </w:p>
        </w:tc>
        <w:tc>
          <w:tcPr>
            <w:tcW w:w="763" w:type="dxa"/>
            <w:gridSpan w:val="2"/>
            <w:tcBorders>
              <w:top w:val="single" w:color="auto" w:sz="4" w:space="0"/>
              <w:left w:val="single" w:color="auto" w:sz="4" w:space="0"/>
              <w:bottom w:val="single" w:color="auto" w:sz="4" w:space="0"/>
              <w:right w:val="single" w:color="auto" w:sz="4" w:space="0"/>
            </w:tcBorders>
            <w:vAlign w:val="center"/>
          </w:tcPr>
          <w:p w14:paraId="11EA3D6A">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4</w:t>
            </w:r>
          </w:p>
        </w:tc>
        <w:tc>
          <w:tcPr>
            <w:tcW w:w="1223" w:type="dxa"/>
            <w:gridSpan w:val="2"/>
            <w:tcBorders>
              <w:top w:val="single" w:color="auto" w:sz="4" w:space="0"/>
              <w:left w:val="single" w:color="auto" w:sz="4" w:space="0"/>
              <w:bottom w:val="single" w:color="auto" w:sz="4" w:space="0"/>
              <w:right w:val="single" w:color="auto" w:sz="4" w:space="0"/>
            </w:tcBorders>
            <w:vAlign w:val="center"/>
          </w:tcPr>
          <w:p w14:paraId="071F45F9">
            <w:pPr>
              <w:widowControl/>
              <w:spacing w:line="260" w:lineRule="exact"/>
              <w:ind w:firstLine="200"/>
              <w:jc w:val="center"/>
              <w:rPr>
                <w:rFonts w:hint="eastAsia" w:ascii="仿宋" w:hAnsi="仿宋" w:eastAsia="仿宋" w:cs="仿宋"/>
                <w:color w:val="000000"/>
                <w:sz w:val="28"/>
                <w:szCs w:val="28"/>
              </w:rPr>
            </w:pPr>
          </w:p>
        </w:tc>
      </w:tr>
      <w:tr w14:paraId="0A12D77C">
        <w:tblPrEx>
          <w:tblCellMar>
            <w:top w:w="0" w:type="dxa"/>
            <w:left w:w="108" w:type="dxa"/>
            <w:bottom w:w="0" w:type="dxa"/>
            <w:right w:w="108" w:type="dxa"/>
          </w:tblCellMar>
        </w:tblPrEx>
        <w:trPr>
          <w:trHeight w:val="574"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02503C94">
            <w:pPr>
              <w:widowControl/>
              <w:spacing w:line="26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40E873C0">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床单元无垃圾、无污渍、无积灰等，消毒到位、病人出院及时清理。</w:t>
            </w:r>
          </w:p>
        </w:tc>
        <w:tc>
          <w:tcPr>
            <w:tcW w:w="1665" w:type="dxa"/>
            <w:gridSpan w:val="2"/>
            <w:tcBorders>
              <w:top w:val="single" w:color="auto" w:sz="4" w:space="0"/>
              <w:left w:val="single" w:color="auto" w:sz="4" w:space="0"/>
              <w:bottom w:val="single" w:color="auto" w:sz="4" w:space="0"/>
              <w:right w:val="single" w:color="auto" w:sz="4" w:space="0"/>
            </w:tcBorders>
            <w:vAlign w:val="center"/>
          </w:tcPr>
          <w:p w14:paraId="28B34834">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720" w:type="dxa"/>
            <w:tcBorders>
              <w:top w:val="single" w:color="auto" w:sz="4" w:space="0"/>
              <w:left w:val="single" w:color="auto" w:sz="4" w:space="0"/>
              <w:bottom w:val="single" w:color="auto" w:sz="4" w:space="0"/>
              <w:right w:val="single" w:color="auto" w:sz="4" w:space="0"/>
            </w:tcBorders>
            <w:vAlign w:val="center"/>
          </w:tcPr>
          <w:p w14:paraId="28168181">
            <w:pPr>
              <w:widowControl/>
              <w:spacing w:line="260" w:lineRule="exact"/>
              <w:ind w:firstLine="200"/>
              <w:jc w:val="center"/>
              <w:rPr>
                <w:rFonts w:hint="eastAsia" w:ascii="仿宋" w:hAnsi="仿宋" w:eastAsia="仿宋" w:cs="仿宋"/>
                <w:color w:val="000000"/>
                <w:sz w:val="28"/>
                <w:szCs w:val="28"/>
              </w:rPr>
            </w:pPr>
          </w:p>
        </w:tc>
        <w:tc>
          <w:tcPr>
            <w:tcW w:w="763" w:type="dxa"/>
            <w:gridSpan w:val="2"/>
            <w:tcBorders>
              <w:top w:val="single" w:color="auto" w:sz="4" w:space="0"/>
              <w:left w:val="single" w:color="auto" w:sz="4" w:space="0"/>
              <w:bottom w:val="single" w:color="auto" w:sz="4" w:space="0"/>
              <w:right w:val="single" w:color="auto" w:sz="4" w:space="0"/>
            </w:tcBorders>
            <w:vAlign w:val="center"/>
          </w:tcPr>
          <w:p w14:paraId="35A18616">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4</w:t>
            </w:r>
          </w:p>
        </w:tc>
        <w:tc>
          <w:tcPr>
            <w:tcW w:w="1223" w:type="dxa"/>
            <w:gridSpan w:val="2"/>
            <w:tcBorders>
              <w:top w:val="single" w:color="auto" w:sz="4" w:space="0"/>
              <w:left w:val="single" w:color="auto" w:sz="4" w:space="0"/>
              <w:bottom w:val="single" w:color="auto" w:sz="4" w:space="0"/>
              <w:right w:val="single" w:color="auto" w:sz="4" w:space="0"/>
            </w:tcBorders>
            <w:vAlign w:val="center"/>
          </w:tcPr>
          <w:p w14:paraId="72A623E5">
            <w:pPr>
              <w:widowControl/>
              <w:spacing w:line="260" w:lineRule="exact"/>
              <w:ind w:firstLine="200"/>
              <w:jc w:val="center"/>
              <w:rPr>
                <w:rFonts w:hint="eastAsia" w:ascii="仿宋" w:hAnsi="仿宋" w:eastAsia="仿宋" w:cs="仿宋"/>
                <w:color w:val="000000"/>
                <w:sz w:val="28"/>
                <w:szCs w:val="28"/>
              </w:rPr>
            </w:pPr>
          </w:p>
        </w:tc>
      </w:tr>
      <w:tr w14:paraId="4B6FD54E">
        <w:tblPrEx>
          <w:tblCellMar>
            <w:top w:w="0" w:type="dxa"/>
            <w:left w:w="108" w:type="dxa"/>
            <w:bottom w:w="0" w:type="dxa"/>
            <w:right w:w="108" w:type="dxa"/>
          </w:tblCellMar>
        </w:tblPrEx>
        <w:trPr>
          <w:trHeight w:val="574"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57239674">
            <w:pPr>
              <w:widowControl/>
              <w:spacing w:line="26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6E84CF81">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桌面、床、床头柜、台面等各种器具表面干净整洁，没有灰尘；床、床头柜底下等隐蔽区域打扫到位，边角没有污渍。</w:t>
            </w:r>
          </w:p>
        </w:tc>
        <w:tc>
          <w:tcPr>
            <w:tcW w:w="1665" w:type="dxa"/>
            <w:gridSpan w:val="2"/>
            <w:tcBorders>
              <w:top w:val="single" w:color="auto" w:sz="4" w:space="0"/>
              <w:left w:val="single" w:color="auto" w:sz="4" w:space="0"/>
              <w:bottom w:val="single" w:color="auto" w:sz="4" w:space="0"/>
              <w:right w:val="single" w:color="auto" w:sz="4" w:space="0"/>
            </w:tcBorders>
            <w:vAlign w:val="center"/>
          </w:tcPr>
          <w:p w14:paraId="2A329A68">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720" w:type="dxa"/>
            <w:tcBorders>
              <w:top w:val="single" w:color="auto" w:sz="4" w:space="0"/>
              <w:left w:val="single" w:color="auto" w:sz="4" w:space="0"/>
              <w:bottom w:val="single" w:color="auto" w:sz="4" w:space="0"/>
              <w:right w:val="single" w:color="auto" w:sz="4" w:space="0"/>
            </w:tcBorders>
            <w:vAlign w:val="center"/>
          </w:tcPr>
          <w:p w14:paraId="661AC4A3">
            <w:pPr>
              <w:widowControl/>
              <w:spacing w:line="260" w:lineRule="exact"/>
              <w:ind w:firstLine="200"/>
              <w:jc w:val="center"/>
              <w:rPr>
                <w:rFonts w:hint="eastAsia" w:ascii="仿宋" w:hAnsi="仿宋" w:eastAsia="仿宋" w:cs="仿宋"/>
                <w:color w:val="000000"/>
                <w:sz w:val="28"/>
                <w:szCs w:val="28"/>
              </w:rPr>
            </w:pPr>
          </w:p>
        </w:tc>
        <w:tc>
          <w:tcPr>
            <w:tcW w:w="763" w:type="dxa"/>
            <w:gridSpan w:val="2"/>
            <w:tcBorders>
              <w:top w:val="single" w:color="auto" w:sz="4" w:space="0"/>
              <w:left w:val="single" w:color="auto" w:sz="4" w:space="0"/>
              <w:bottom w:val="single" w:color="auto" w:sz="4" w:space="0"/>
              <w:right w:val="single" w:color="auto" w:sz="4" w:space="0"/>
            </w:tcBorders>
            <w:vAlign w:val="center"/>
          </w:tcPr>
          <w:p w14:paraId="240F655C">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4</w:t>
            </w:r>
          </w:p>
        </w:tc>
        <w:tc>
          <w:tcPr>
            <w:tcW w:w="1223" w:type="dxa"/>
            <w:gridSpan w:val="2"/>
            <w:tcBorders>
              <w:top w:val="single" w:color="auto" w:sz="4" w:space="0"/>
              <w:left w:val="single" w:color="auto" w:sz="4" w:space="0"/>
              <w:bottom w:val="single" w:color="auto" w:sz="4" w:space="0"/>
              <w:right w:val="single" w:color="auto" w:sz="4" w:space="0"/>
            </w:tcBorders>
            <w:vAlign w:val="center"/>
          </w:tcPr>
          <w:p w14:paraId="6D2DDC38">
            <w:pPr>
              <w:widowControl/>
              <w:spacing w:line="260" w:lineRule="exact"/>
              <w:ind w:firstLine="200"/>
              <w:jc w:val="center"/>
              <w:rPr>
                <w:rFonts w:hint="eastAsia" w:ascii="仿宋" w:hAnsi="仿宋" w:eastAsia="仿宋" w:cs="仿宋"/>
                <w:color w:val="000000"/>
                <w:sz w:val="28"/>
                <w:szCs w:val="28"/>
              </w:rPr>
            </w:pPr>
          </w:p>
        </w:tc>
      </w:tr>
      <w:tr w14:paraId="3C3F304E">
        <w:tblPrEx>
          <w:tblCellMar>
            <w:top w:w="0" w:type="dxa"/>
            <w:left w:w="108" w:type="dxa"/>
            <w:bottom w:w="0" w:type="dxa"/>
            <w:right w:w="108" w:type="dxa"/>
          </w:tblCellMar>
        </w:tblPrEx>
        <w:trPr>
          <w:trHeight w:val="574"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1C9AAEA5">
            <w:pPr>
              <w:widowControl/>
              <w:spacing w:line="26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29A793CA">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卫生间无异味、无污垢等，垃圾袋定时更换、完好、无堵塞、无滴漏、无污迹等。</w:t>
            </w:r>
          </w:p>
        </w:tc>
        <w:tc>
          <w:tcPr>
            <w:tcW w:w="1665" w:type="dxa"/>
            <w:gridSpan w:val="2"/>
            <w:tcBorders>
              <w:top w:val="single" w:color="auto" w:sz="4" w:space="0"/>
              <w:left w:val="single" w:color="auto" w:sz="4" w:space="0"/>
              <w:bottom w:val="single" w:color="auto" w:sz="4" w:space="0"/>
              <w:right w:val="single" w:color="auto" w:sz="4" w:space="0"/>
            </w:tcBorders>
            <w:vAlign w:val="center"/>
          </w:tcPr>
          <w:p w14:paraId="027ADE2B">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720" w:type="dxa"/>
            <w:tcBorders>
              <w:top w:val="single" w:color="auto" w:sz="4" w:space="0"/>
              <w:left w:val="single" w:color="auto" w:sz="4" w:space="0"/>
              <w:bottom w:val="single" w:color="auto" w:sz="4" w:space="0"/>
              <w:right w:val="single" w:color="auto" w:sz="4" w:space="0"/>
            </w:tcBorders>
            <w:vAlign w:val="center"/>
          </w:tcPr>
          <w:p w14:paraId="51BFD2AC">
            <w:pPr>
              <w:widowControl/>
              <w:spacing w:line="260" w:lineRule="exact"/>
              <w:ind w:firstLine="200"/>
              <w:jc w:val="center"/>
              <w:rPr>
                <w:rFonts w:hint="eastAsia" w:ascii="仿宋" w:hAnsi="仿宋" w:eastAsia="仿宋" w:cs="仿宋"/>
                <w:color w:val="000000"/>
                <w:sz w:val="28"/>
                <w:szCs w:val="28"/>
              </w:rPr>
            </w:pPr>
          </w:p>
        </w:tc>
        <w:tc>
          <w:tcPr>
            <w:tcW w:w="763" w:type="dxa"/>
            <w:gridSpan w:val="2"/>
            <w:tcBorders>
              <w:top w:val="single" w:color="auto" w:sz="4" w:space="0"/>
              <w:left w:val="single" w:color="auto" w:sz="4" w:space="0"/>
              <w:bottom w:val="single" w:color="auto" w:sz="4" w:space="0"/>
              <w:right w:val="single" w:color="auto" w:sz="4" w:space="0"/>
            </w:tcBorders>
            <w:vAlign w:val="center"/>
          </w:tcPr>
          <w:p w14:paraId="4133DB9A">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4</w:t>
            </w:r>
          </w:p>
        </w:tc>
        <w:tc>
          <w:tcPr>
            <w:tcW w:w="1223" w:type="dxa"/>
            <w:gridSpan w:val="2"/>
            <w:tcBorders>
              <w:top w:val="single" w:color="auto" w:sz="4" w:space="0"/>
              <w:left w:val="single" w:color="auto" w:sz="4" w:space="0"/>
              <w:bottom w:val="single" w:color="auto" w:sz="4" w:space="0"/>
              <w:right w:val="single" w:color="auto" w:sz="4" w:space="0"/>
            </w:tcBorders>
            <w:vAlign w:val="center"/>
          </w:tcPr>
          <w:p w14:paraId="424EC4AD">
            <w:pPr>
              <w:widowControl/>
              <w:spacing w:line="260" w:lineRule="exact"/>
              <w:ind w:firstLine="200"/>
              <w:jc w:val="center"/>
              <w:rPr>
                <w:rFonts w:hint="eastAsia" w:ascii="仿宋" w:hAnsi="仿宋" w:eastAsia="仿宋" w:cs="仿宋"/>
                <w:color w:val="000000"/>
                <w:sz w:val="28"/>
                <w:szCs w:val="28"/>
              </w:rPr>
            </w:pPr>
          </w:p>
        </w:tc>
      </w:tr>
      <w:tr w14:paraId="5D97D852">
        <w:tblPrEx>
          <w:tblCellMar>
            <w:top w:w="0" w:type="dxa"/>
            <w:left w:w="108" w:type="dxa"/>
            <w:bottom w:w="0" w:type="dxa"/>
            <w:right w:w="108" w:type="dxa"/>
          </w:tblCellMar>
        </w:tblPrEx>
        <w:trPr>
          <w:trHeight w:val="574"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58535560">
            <w:pPr>
              <w:widowControl/>
              <w:spacing w:line="26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6DD753AF">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治疗车、抢救车等及时消毒、擦拭干净。</w:t>
            </w:r>
          </w:p>
        </w:tc>
        <w:tc>
          <w:tcPr>
            <w:tcW w:w="1665" w:type="dxa"/>
            <w:gridSpan w:val="2"/>
            <w:tcBorders>
              <w:top w:val="single" w:color="auto" w:sz="4" w:space="0"/>
              <w:left w:val="single" w:color="auto" w:sz="4" w:space="0"/>
              <w:bottom w:val="single" w:color="auto" w:sz="4" w:space="0"/>
              <w:right w:val="single" w:color="auto" w:sz="4" w:space="0"/>
            </w:tcBorders>
            <w:vAlign w:val="center"/>
          </w:tcPr>
          <w:p w14:paraId="76954EEB">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720" w:type="dxa"/>
            <w:tcBorders>
              <w:top w:val="single" w:color="auto" w:sz="4" w:space="0"/>
              <w:left w:val="single" w:color="auto" w:sz="4" w:space="0"/>
              <w:bottom w:val="single" w:color="auto" w:sz="4" w:space="0"/>
              <w:right w:val="single" w:color="auto" w:sz="4" w:space="0"/>
            </w:tcBorders>
            <w:vAlign w:val="center"/>
          </w:tcPr>
          <w:p w14:paraId="7D0F7E59">
            <w:pPr>
              <w:widowControl/>
              <w:spacing w:line="260" w:lineRule="exact"/>
              <w:ind w:firstLine="200"/>
              <w:jc w:val="center"/>
              <w:rPr>
                <w:rFonts w:hint="eastAsia" w:ascii="仿宋" w:hAnsi="仿宋" w:eastAsia="仿宋" w:cs="仿宋"/>
                <w:color w:val="000000"/>
                <w:sz w:val="28"/>
                <w:szCs w:val="28"/>
              </w:rPr>
            </w:pPr>
          </w:p>
        </w:tc>
        <w:tc>
          <w:tcPr>
            <w:tcW w:w="763" w:type="dxa"/>
            <w:gridSpan w:val="2"/>
            <w:tcBorders>
              <w:top w:val="single" w:color="auto" w:sz="4" w:space="0"/>
              <w:left w:val="single" w:color="auto" w:sz="4" w:space="0"/>
              <w:bottom w:val="single" w:color="auto" w:sz="4" w:space="0"/>
              <w:right w:val="single" w:color="auto" w:sz="4" w:space="0"/>
            </w:tcBorders>
            <w:vAlign w:val="center"/>
          </w:tcPr>
          <w:p w14:paraId="4794C135">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4</w:t>
            </w:r>
          </w:p>
        </w:tc>
        <w:tc>
          <w:tcPr>
            <w:tcW w:w="1223" w:type="dxa"/>
            <w:gridSpan w:val="2"/>
            <w:tcBorders>
              <w:top w:val="single" w:color="auto" w:sz="4" w:space="0"/>
              <w:left w:val="single" w:color="auto" w:sz="4" w:space="0"/>
              <w:bottom w:val="single" w:color="auto" w:sz="4" w:space="0"/>
              <w:right w:val="single" w:color="auto" w:sz="4" w:space="0"/>
            </w:tcBorders>
            <w:vAlign w:val="center"/>
          </w:tcPr>
          <w:p w14:paraId="4DCB14DD">
            <w:pPr>
              <w:widowControl/>
              <w:spacing w:line="260" w:lineRule="exact"/>
              <w:ind w:firstLine="200"/>
              <w:jc w:val="center"/>
              <w:rPr>
                <w:rFonts w:hint="eastAsia" w:ascii="仿宋" w:hAnsi="仿宋" w:eastAsia="仿宋" w:cs="仿宋"/>
                <w:color w:val="000000"/>
                <w:sz w:val="28"/>
                <w:szCs w:val="28"/>
              </w:rPr>
            </w:pPr>
          </w:p>
        </w:tc>
      </w:tr>
      <w:tr w14:paraId="63365CE3">
        <w:tblPrEx>
          <w:tblCellMar>
            <w:top w:w="0" w:type="dxa"/>
            <w:left w:w="108" w:type="dxa"/>
            <w:bottom w:w="0" w:type="dxa"/>
            <w:right w:w="108" w:type="dxa"/>
          </w:tblCellMar>
        </w:tblPrEx>
        <w:trPr>
          <w:trHeight w:val="574"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45A7D2F8">
            <w:pPr>
              <w:widowControl/>
              <w:spacing w:line="26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4AFB88A3">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污洗间摆放整洁、有条理， 拖把、一床一巾摆放符合规范，没有私人物品。</w:t>
            </w:r>
          </w:p>
        </w:tc>
        <w:tc>
          <w:tcPr>
            <w:tcW w:w="1665" w:type="dxa"/>
            <w:gridSpan w:val="2"/>
            <w:tcBorders>
              <w:top w:val="single" w:color="auto" w:sz="4" w:space="0"/>
              <w:left w:val="single" w:color="auto" w:sz="4" w:space="0"/>
              <w:bottom w:val="single" w:color="auto" w:sz="4" w:space="0"/>
              <w:right w:val="single" w:color="auto" w:sz="4" w:space="0"/>
            </w:tcBorders>
            <w:vAlign w:val="center"/>
          </w:tcPr>
          <w:p w14:paraId="488288C8">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720" w:type="dxa"/>
            <w:tcBorders>
              <w:top w:val="single" w:color="auto" w:sz="4" w:space="0"/>
              <w:left w:val="single" w:color="auto" w:sz="4" w:space="0"/>
              <w:bottom w:val="single" w:color="auto" w:sz="4" w:space="0"/>
              <w:right w:val="single" w:color="auto" w:sz="4" w:space="0"/>
            </w:tcBorders>
            <w:vAlign w:val="center"/>
          </w:tcPr>
          <w:p w14:paraId="2D4820B7">
            <w:pPr>
              <w:widowControl/>
              <w:spacing w:line="260" w:lineRule="exact"/>
              <w:ind w:firstLine="200"/>
              <w:jc w:val="center"/>
              <w:rPr>
                <w:rFonts w:hint="eastAsia" w:ascii="仿宋" w:hAnsi="仿宋" w:eastAsia="仿宋" w:cs="仿宋"/>
                <w:color w:val="000000"/>
                <w:sz w:val="28"/>
                <w:szCs w:val="28"/>
              </w:rPr>
            </w:pPr>
          </w:p>
        </w:tc>
        <w:tc>
          <w:tcPr>
            <w:tcW w:w="763" w:type="dxa"/>
            <w:gridSpan w:val="2"/>
            <w:tcBorders>
              <w:top w:val="single" w:color="auto" w:sz="4" w:space="0"/>
              <w:left w:val="single" w:color="auto" w:sz="4" w:space="0"/>
              <w:bottom w:val="single" w:color="auto" w:sz="4" w:space="0"/>
              <w:right w:val="single" w:color="auto" w:sz="4" w:space="0"/>
            </w:tcBorders>
            <w:vAlign w:val="center"/>
          </w:tcPr>
          <w:p w14:paraId="13817EF3">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4</w:t>
            </w:r>
          </w:p>
        </w:tc>
        <w:tc>
          <w:tcPr>
            <w:tcW w:w="1223" w:type="dxa"/>
            <w:gridSpan w:val="2"/>
            <w:tcBorders>
              <w:top w:val="single" w:color="auto" w:sz="4" w:space="0"/>
              <w:left w:val="single" w:color="auto" w:sz="4" w:space="0"/>
              <w:bottom w:val="single" w:color="auto" w:sz="4" w:space="0"/>
              <w:right w:val="single" w:color="auto" w:sz="4" w:space="0"/>
            </w:tcBorders>
            <w:vAlign w:val="center"/>
          </w:tcPr>
          <w:p w14:paraId="095F407B">
            <w:pPr>
              <w:widowControl/>
              <w:spacing w:line="260" w:lineRule="exact"/>
              <w:ind w:firstLine="200"/>
              <w:jc w:val="center"/>
              <w:rPr>
                <w:rFonts w:hint="eastAsia" w:ascii="仿宋" w:hAnsi="仿宋" w:eastAsia="仿宋" w:cs="仿宋"/>
                <w:color w:val="000000"/>
                <w:sz w:val="28"/>
                <w:szCs w:val="28"/>
              </w:rPr>
            </w:pPr>
          </w:p>
        </w:tc>
      </w:tr>
      <w:tr w14:paraId="4E1BE610">
        <w:tblPrEx>
          <w:tblCellMar>
            <w:top w:w="0" w:type="dxa"/>
            <w:left w:w="108" w:type="dxa"/>
            <w:bottom w:w="0" w:type="dxa"/>
            <w:right w:w="108" w:type="dxa"/>
          </w:tblCellMar>
        </w:tblPrEx>
        <w:trPr>
          <w:trHeight w:val="574"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1A4DDAB4">
            <w:pPr>
              <w:widowControl/>
              <w:spacing w:line="26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4513F9A3">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室外路灯、指示牌等公共设施干净、不倾斜、 没有破损。</w:t>
            </w:r>
          </w:p>
        </w:tc>
        <w:tc>
          <w:tcPr>
            <w:tcW w:w="1665" w:type="dxa"/>
            <w:gridSpan w:val="2"/>
            <w:tcBorders>
              <w:top w:val="single" w:color="auto" w:sz="4" w:space="0"/>
              <w:left w:val="single" w:color="auto" w:sz="4" w:space="0"/>
              <w:bottom w:val="single" w:color="auto" w:sz="4" w:space="0"/>
              <w:right w:val="single" w:color="auto" w:sz="4" w:space="0"/>
            </w:tcBorders>
            <w:vAlign w:val="center"/>
          </w:tcPr>
          <w:p w14:paraId="5BA48A27">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720" w:type="dxa"/>
            <w:tcBorders>
              <w:top w:val="single" w:color="auto" w:sz="4" w:space="0"/>
              <w:left w:val="single" w:color="auto" w:sz="4" w:space="0"/>
              <w:bottom w:val="single" w:color="auto" w:sz="4" w:space="0"/>
              <w:right w:val="single" w:color="auto" w:sz="4" w:space="0"/>
            </w:tcBorders>
            <w:vAlign w:val="center"/>
          </w:tcPr>
          <w:p w14:paraId="3AC3C3A9">
            <w:pPr>
              <w:widowControl/>
              <w:spacing w:line="260" w:lineRule="exact"/>
              <w:ind w:firstLine="200"/>
              <w:jc w:val="center"/>
              <w:rPr>
                <w:rFonts w:hint="eastAsia" w:ascii="仿宋" w:hAnsi="仿宋" w:eastAsia="仿宋" w:cs="仿宋"/>
                <w:color w:val="000000"/>
                <w:sz w:val="28"/>
                <w:szCs w:val="28"/>
              </w:rPr>
            </w:pPr>
          </w:p>
        </w:tc>
        <w:tc>
          <w:tcPr>
            <w:tcW w:w="763" w:type="dxa"/>
            <w:gridSpan w:val="2"/>
            <w:tcBorders>
              <w:top w:val="single" w:color="auto" w:sz="4" w:space="0"/>
              <w:left w:val="single" w:color="auto" w:sz="4" w:space="0"/>
              <w:bottom w:val="single" w:color="auto" w:sz="4" w:space="0"/>
              <w:right w:val="single" w:color="auto" w:sz="4" w:space="0"/>
            </w:tcBorders>
            <w:vAlign w:val="center"/>
          </w:tcPr>
          <w:p w14:paraId="5BE3E1A4">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4</w:t>
            </w:r>
          </w:p>
        </w:tc>
        <w:tc>
          <w:tcPr>
            <w:tcW w:w="1223" w:type="dxa"/>
            <w:gridSpan w:val="2"/>
            <w:tcBorders>
              <w:top w:val="single" w:color="auto" w:sz="4" w:space="0"/>
              <w:left w:val="single" w:color="auto" w:sz="4" w:space="0"/>
              <w:bottom w:val="single" w:color="auto" w:sz="4" w:space="0"/>
              <w:right w:val="single" w:color="auto" w:sz="4" w:space="0"/>
            </w:tcBorders>
            <w:vAlign w:val="center"/>
          </w:tcPr>
          <w:p w14:paraId="3EBE9E59">
            <w:pPr>
              <w:widowControl/>
              <w:spacing w:line="260" w:lineRule="exact"/>
              <w:ind w:firstLine="200"/>
              <w:jc w:val="center"/>
              <w:rPr>
                <w:rFonts w:hint="eastAsia" w:ascii="仿宋" w:hAnsi="仿宋" w:eastAsia="仿宋" w:cs="仿宋"/>
                <w:color w:val="000000"/>
                <w:sz w:val="28"/>
                <w:szCs w:val="28"/>
              </w:rPr>
            </w:pPr>
          </w:p>
        </w:tc>
      </w:tr>
      <w:tr w14:paraId="07137A47">
        <w:tblPrEx>
          <w:tblCellMar>
            <w:top w:w="0" w:type="dxa"/>
            <w:left w:w="108" w:type="dxa"/>
            <w:bottom w:w="0" w:type="dxa"/>
            <w:right w:w="108" w:type="dxa"/>
          </w:tblCellMar>
        </w:tblPrEx>
        <w:trPr>
          <w:trHeight w:val="574"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171D9C1B">
            <w:pPr>
              <w:widowControl/>
              <w:spacing w:line="26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3B547420">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水池、龙头、马桶、 淋浴房等擦拭洁净光亮， 没有黑斑、霉点，垃圾桶（篓）及时更换，没有外溢。</w:t>
            </w:r>
          </w:p>
        </w:tc>
        <w:tc>
          <w:tcPr>
            <w:tcW w:w="1665" w:type="dxa"/>
            <w:gridSpan w:val="2"/>
            <w:tcBorders>
              <w:top w:val="single" w:color="auto" w:sz="4" w:space="0"/>
              <w:left w:val="single" w:color="auto" w:sz="4" w:space="0"/>
              <w:bottom w:val="single" w:color="auto" w:sz="4" w:space="0"/>
              <w:right w:val="single" w:color="auto" w:sz="4" w:space="0"/>
            </w:tcBorders>
            <w:vAlign w:val="center"/>
          </w:tcPr>
          <w:p w14:paraId="250E1233">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720" w:type="dxa"/>
            <w:tcBorders>
              <w:top w:val="single" w:color="auto" w:sz="4" w:space="0"/>
              <w:left w:val="single" w:color="auto" w:sz="4" w:space="0"/>
              <w:bottom w:val="single" w:color="auto" w:sz="4" w:space="0"/>
              <w:right w:val="single" w:color="auto" w:sz="4" w:space="0"/>
            </w:tcBorders>
            <w:vAlign w:val="center"/>
          </w:tcPr>
          <w:p w14:paraId="46C4BC90">
            <w:pPr>
              <w:widowControl/>
              <w:spacing w:line="260" w:lineRule="exact"/>
              <w:ind w:firstLine="200"/>
              <w:jc w:val="center"/>
              <w:rPr>
                <w:rFonts w:hint="eastAsia" w:ascii="仿宋" w:hAnsi="仿宋" w:eastAsia="仿宋" w:cs="仿宋"/>
                <w:color w:val="000000"/>
                <w:sz w:val="28"/>
                <w:szCs w:val="28"/>
              </w:rPr>
            </w:pPr>
          </w:p>
        </w:tc>
        <w:tc>
          <w:tcPr>
            <w:tcW w:w="763" w:type="dxa"/>
            <w:gridSpan w:val="2"/>
            <w:tcBorders>
              <w:top w:val="single" w:color="auto" w:sz="4" w:space="0"/>
              <w:left w:val="single" w:color="auto" w:sz="4" w:space="0"/>
              <w:bottom w:val="single" w:color="auto" w:sz="4" w:space="0"/>
              <w:right w:val="single" w:color="auto" w:sz="4" w:space="0"/>
            </w:tcBorders>
            <w:vAlign w:val="center"/>
          </w:tcPr>
          <w:p w14:paraId="7107F484">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4</w:t>
            </w:r>
          </w:p>
        </w:tc>
        <w:tc>
          <w:tcPr>
            <w:tcW w:w="1223" w:type="dxa"/>
            <w:gridSpan w:val="2"/>
            <w:tcBorders>
              <w:top w:val="single" w:color="auto" w:sz="4" w:space="0"/>
              <w:left w:val="single" w:color="auto" w:sz="4" w:space="0"/>
              <w:bottom w:val="single" w:color="auto" w:sz="4" w:space="0"/>
              <w:right w:val="single" w:color="auto" w:sz="4" w:space="0"/>
            </w:tcBorders>
            <w:vAlign w:val="center"/>
          </w:tcPr>
          <w:p w14:paraId="32E6CCD3">
            <w:pPr>
              <w:widowControl/>
              <w:spacing w:line="260" w:lineRule="exact"/>
              <w:ind w:firstLine="200"/>
              <w:jc w:val="center"/>
              <w:rPr>
                <w:rFonts w:hint="eastAsia" w:ascii="仿宋" w:hAnsi="仿宋" w:eastAsia="仿宋" w:cs="仿宋"/>
                <w:color w:val="000000"/>
                <w:sz w:val="28"/>
                <w:szCs w:val="28"/>
              </w:rPr>
            </w:pPr>
          </w:p>
        </w:tc>
      </w:tr>
      <w:tr w14:paraId="5AC95F0E">
        <w:tblPrEx>
          <w:tblCellMar>
            <w:top w:w="0" w:type="dxa"/>
            <w:left w:w="108" w:type="dxa"/>
            <w:bottom w:w="0" w:type="dxa"/>
            <w:right w:w="108" w:type="dxa"/>
          </w:tblCellMar>
        </w:tblPrEx>
        <w:trPr>
          <w:trHeight w:val="574"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51415A02">
            <w:pPr>
              <w:widowControl/>
              <w:spacing w:line="26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7256FC4D">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每日清运垃圾无积压，垃圾桶、堆场及时清洗、无严重异味等</w:t>
            </w:r>
          </w:p>
        </w:tc>
        <w:tc>
          <w:tcPr>
            <w:tcW w:w="1665" w:type="dxa"/>
            <w:gridSpan w:val="2"/>
            <w:tcBorders>
              <w:top w:val="single" w:color="auto" w:sz="4" w:space="0"/>
              <w:left w:val="single" w:color="auto" w:sz="4" w:space="0"/>
              <w:bottom w:val="single" w:color="auto" w:sz="4" w:space="0"/>
              <w:right w:val="single" w:color="auto" w:sz="4" w:space="0"/>
            </w:tcBorders>
            <w:vAlign w:val="center"/>
          </w:tcPr>
          <w:p w14:paraId="58BA51E8">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720" w:type="dxa"/>
            <w:tcBorders>
              <w:top w:val="single" w:color="auto" w:sz="4" w:space="0"/>
              <w:left w:val="single" w:color="auto" w:sz="4" w:space="0"/>
              <w:bottom w:val="single" w:color="auto" w:sz="4" w:space="0"/>
              <w:right w:val="single" w:color="auto" w:sz="4" w:space="0"/>
            </w:tcBorders>
            <w:vAlign w:val="center"/>
          </w:tcPr>
          <w:p w14:paraId="1F515A9A">
            <w:pPr>
              <w:widowControl/>
              <w:spacing w:line="260" w:lineRule="exact"/>
              <w:ind w:firstLine="200"/>
              <w:jc w:val="center"/>
              <w:rPr>
                <w:rFonts w:hint="eastAsia" w:ascii="仿宋" w:hAnsi="仿宋" w:eastAsia="仿宋" w:cs="仿宋"/>
                <w:color w:val="000000"/>
                <w:sz w:val="28"/>
                <w:szCs w:val="28"/>
              </w:rPr>
            </w:pPr>
          </w:p>
        </w:tc>
        <w:tc>
          <w:tcPr>
            <w:tcW w:w="763" w:type="dxa"/>
            <w:gridSpan w:val="2"/>
            <w:tcBorders>
              <w:top w:val="single" w:color="auto" w:sz="4" w:space="0"/>
              <w:left w:val="single" w:color="auto" w:sz="4" w:space="0"/>
              <w:bottom w:val="single" w:color="auto" w:sz="4" w:space="0"/>
              <w:right w:val="single" w:color="auto" w:sz="4" w:space="0"/>
            </w:tcBorders>
            <w:vAlign w:val="center"/>
          </w:tcPr>
          <w:p w14:paraId="5BCC8B4A">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4</w:t>
            </w:r>
          </w:p>
        </w:tc>
        <w:tc>
          <w:tcPr>
            <w:tcW w:w="1223" w:type="dxa"/>
            <w:gridSpan w:val="2"/>
            <w:tcBorders>
              <w:top w:val="single" w:color="auto" w:sz="4" w:space="0"/>
              <w:left w:val="single" w:color="auto" w:sz="4" w:space="0"/>
              <w:bottom w:val="single" w:color="auto" w:sz="4" w:space="0"/>
              <w:right w:val="single" w:color="auto" w:sz="4" w:space="0"/>
            </w:tcBorders>
            <w:vAlign w:val="center"/>
          </w:tcPr>
          <w:p w14:paraId="007E0381">
            <w:pPr>
              <w:widowControl/>
              <w:spacing w:line="260" w:lineRule="exact"/>
              <w:ind w:firstLine="200"/>
              <w:jc w:val="center"/>
              <w:rPr>
                <w:rFonts w:hint="eastAsia" w:ascii="仿宋" w:hAnsi="仿宋" w:eastAsia="仿宋" w:cs="仿宋"/>
                <w:color w:val="000000"/>
                <w:sz w:val="28"/>
                <w:szCs w:val="28"/>
              </w:rPr>
            </w:pPr>
          </w:p>
        </w:tc>
      </w:tr>
      <w:tr w14:paraId="196A78C7">
        <w:tblPrEx>
          <w:tblCellMar>
            <w:top w:w="0" w:type="dxa"/>
            <w:left w:w="108" w:type="dxa"/>
            <w:bottom w:w="0" w:type="dxa"/>
            <w:right w:w="108" w:type="dxa"/>
          </w:tblCellMar>
        </w:tblPrEx>
        <w:trPr>
          <w:trHeight w:val="574"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6B35B4F0">
            <w:pPr>
              <w:widowControl/>
              <w:spacing w:line="26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3C000746">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根据病人和职工的满意度、无投诉</w:t>
            </w:r>
          </w:p>
        </w:tc>
        <w:tc>
          <w:tcPr>
            <w:tcW w:w="1665" w:type="dxa"/>
            <w:gridSpan w:val="2"/>
            <w:tcBorders>
              <w:top w:val="single" w:color="auto" w:sz="4" w:space="0"/>
              <w:left w:val="single" w:color="auto" w:sz="4" w:space="0"/>
              <w:bottom w:val="single" w:color="auto" w:sz="4" w:space="0"/>
              <w:right w:val="single" w:color="auto" w:sz="4" w:space="0"/>
            </w:tcBorders>
            <w:vAlign w:val="center"/>
          </w:tcPr>
          <w:p w14:paraId="666F8E5F">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每发现一次不合要求扣2分</w:t>
            </w:r>
          </w:p>
        </w:tc>
        <w:tc>
          <w:tcPr>
            <w:tcW w:w="720" w:type="dxa"/>
            <w:tcBorders>
              <w:top w:val="single" w:color="auto" w:sz="4" w:space="0"/>
              <w:left w:val="single" w:color="auto" w:sz="4" w:space="0"/>
              <w:bottom w:val="single" w:color="auto" w:sz="4" w:space="0"/>
              <w:right w:val="single" w:color="auto" w:sz="4" w:space="0"/>
            </w:tcBorders>
            <w:vAlign w:val="center"/>
          </w:tcPr>
          <w:p w14:paraId="474E263B">
            <w:pPr>
              <w:widowControl/>
              <w:spacing w:line="260" w:lineRule="exact"/>
              <w:ind w:firstLine="200"/>
              <w:jc w:val="center"/>
              <w:rPr>
                <w:rFonts w:hint="eastAsia" w:ascii="仿宋" w:hAnsi="仿宋" w:eastAsia="仿宋" w:cs="仿宋"/>
                <w:color w:val="000000"/>
                <w:sz w:val="28"/>
                <w:szCs w:val="28"/>
              </w:rPr>
            </w:pPr>
          </w:p>
        </w:tc>
        <w:tc>
          <w:tcPr>
            <w:tcW w:w="763" w:type="dxa"/>
            <w:gridSpan w:val="2"/>
            <w:tcBorders>
              <w:top w:val="single" w:color="auto" w:sz="4" w:space="0"/>
              <w:left w:val="single" w:color="auto" w:sz="4" w:space="0"/>
              <w:bottom w:val="single" w:color="auto" w:sz="4" w:space="0"/>
              <w:right w:val="single" w:color="auto" w:sz="4" w:space="0"/>
            </w:tcBorders>
            <w:vAlign w:val="center"/>
          </w:tcPr>
          <w:p w14:paraId="68B35AAC">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4</w:t>
            </w:r>
          </w:p>
        </w:tc>
        <w:tc>
          <w:tcPr>
            <w:tcW w:w="1223" w:type="dxa"/>
            <w:gridSpan w:val="2"/>
            <w:tcBorders>
              <w:top w:val="single" w:color="auto" w:sz="4" w:space="0"/>
              <w:left w:val="single" w:color="auto" w:sz="4" w:space="0"/>
              <w:bottom w:val="single" w:color="auto" w:sz="4" w:space="0"/>
              <w:right w:val="single" w:color="auto" w:sz="4" w:space="0"/>
            </w:tcBorders>
            <w:vAlign w:val="center"/>
          </w:tcPr>
          <w:p w14:paraId="5C88D2FB">
            <w:pPr>
              <w:widowControl/>
              <w:spacing w:line="260" w:lineRule="exact"/>
              <w:ind w:firstLine="200"/>
              <w:jc w:val="center"/>
              <w:rPr>
                <w:rFonts w:hint="eastAsia" w:ascii="仿宋" w:hAnsi="仿宋" w:eastAsia="仿宋" w:cs="仿宋"/>
                <w:color w:val="000000"/>
                <w:sz w:val="28"/>
                <w:szCs w:val="28"/>
              </w:rPr>
            </w:pPr>
          </w:p>
        </w:tc>
      </w:tr>
      <w:tr w14:paraId="6675B8EE">
        <w:tblPrEx>
          <w:tblCellMar>
            <w:top w:w="0" w:type="dxa"/>
            <w:left w:w="108" w:type="dxa"/>
            <w:bottom w:w="0" w:type="dxa"/>
            <w:right w:w="108" w:type="dxa"/>
          </w:tblCellMar>
        </w:tblPrEx>
        <w:trPr>
          <w:trHeight w:val="574"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03786FC3">
            <w:pPr>
              <w:widowControl/>
              <w:spacing w:line="26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4D76D1A9">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电梯机房及房屋屋顶外围无积灰、无垃圾、无烟蒂等，下水通畅。</w:t>
            </w:r>
          </w:p>
        </w:tc>
        <w:tc>
          <w:tcPr>
            <w:tcW w:w="1665" w:type="dxa"/>
            <w:gridSpan w:val="2"/>
            <w:tcBorders>
              <w:top w:val="single" w:color="auto" w:sz="4" w:space="0"/>
              <w:left w:val="single" w:color="auto" w:sz="4" w:space="0"/>
              <w:bottom w:val="single" w:color="auto" w:sz="4" w:space="0"/>
              <w:right w:val="single" w:color="auto" w:sz="4" w:space="0"/>
            </w:tcBorders>
            <w:vAlign w:val="center"/>
          </w:tcPr>
          <w:p w14:paraId="3CF8E259">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720" w:type="dxa"/>
            <w:tcBorders>
              <w:top w:val="single" w:color="auto" w:sz="4" w:space="0"/>
              <w:left w:val="single" w:color="auto" w:sz="4" w:space="0"/>
              <w:bottom w:val="single" w:color="auto" w:sz="4" w:space="0"/>
              <w:right w:val="single" w:color="auto" w:sz="4" w:space="0"/>
            </w:tcBorders>
            <w:vAlign w:val="center"/>
          </w:tcPr>
          <w:p w14:paraId="62EBE3A9">
            <w:pPr>
              <w:widowControl/>
              <w:spacing w:line="260" w:lineRule="exact"/>
              <w:ind w:firstLine="200"/>
              <w:jc w:val="center"/>
              <w:rPr>
                <w:rFonts w:hint="eastAsia" w:ascii="仿宋" w:hAnsi="仿宋" w:eastAsia="仿宋" w:cs="仿宋"/>
                <w:color w:val="000000"/>
                <w:sz w:val="28"/>
                <w:szCs w:val="28"/>
              </w:rPr>
            </w:pPr>
          </w:p>
        </w:tc>
        <w:tc>
          <w:tcPr>
            <w:tcW w:w="763" w:type="dxa"/>
            <w:gridSpan w:val="2"/>
            <w:tcBorders>
              <w:top w:val="single" w:color="auto" w:sz="4" w:space="0"/>
              <w:left w:val="single" w:color="auto" w:sz="4" w:space="0"/>
              <w:bottom w:val="single" w:color="auto" w:sz="4" w:space="0"/>
              <w:right w:val="single" w:color="auto" w:sz="4" w:space="0"/>
            </w:tcBorders>
            <w:vAlign w:val="center"/>
          </w:tcPr>
          <w:p w14:paraId="5F615755">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4</w:t>
            </w:r>
          </w:p>
        </w:tc>
        <w:tc>
          <w:tcPr>
            <w:tcW w:w="1223" w:type="dxa"/>
            <w:gridSpan w:val="2"/>
            <w:tcBorders>
              <w:top w:val="single" w:color="auto" w:sz="4" w:space="0"/>
              <w:left w:val="single" w:color="auto" w:sz="4" w:space="0"/>
              <w:bottom w:val="single" w:color="auto" w:sz="4" w:space="0"/>
              <w:right w:val="single" w:color="auto" w:sz="4" w:space="0"/>
            </w:tcBorders>
            <w:vAlign w:val="center"/>
          </w:tcPr>
          <w:p w14:paraId="1B01A8CE">
            <w:pPr>
              <w:widowControl/>
              <w:spacing w:line="260" w:lineRule="exact"/>
              <w:ind w:firstLine="200"/>
              <w:jc w:val="center"/>
              <w:rPr>
                <w:rFonts w:hint="eastAsia" w:ascii="仿宋" w:hAnsi="仿宋" w:eastAsia="仿宋" w:cs="仿宋"/>
                <w:color w:val="000000"/>
                <w:sz w:val="28"/>
                <w:szCs w:val="28"/>
              </w:rPr>
            </w:pPr>
          </w:p>
        </w:tc>
      </w:tr>
      <w:tr w14:paraId="53E930BA">
        <w:tblPrEx>
          <w:tblCellMar>
            <w:top w:w="0" w:type="dxa"/>
            <w:left w:w="108" w:type="dxa"/>
            <w:bottom w:w="0" w:type="dxa"/>
            <w:right w:w="108" w:type="dxa"/>
          </w:tblCellMar>
        </w:tblPrEx>
        <w:trPr>
          <w:trHeight w:val="574"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6CB72880">
            <w:pPr>
              <w:widowControl/>
              <w:spacing w:line="26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79527807">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室外环境无垃圾、无烟蒂等，下水通畅。</w:t>
            </w:r>
          </w:p>
        </w:tc>
        <w:tc>
          <w:tcPr>
            <w:tcW w:w="1665" w:type="dxa"/>
            <w:gridSpan w:val="2"/>
            <w:tcBorders>
              <w:top w:val="single" w:color="auto" w:sz="4" w:space="0"/>
              <w:left w:val="single" w:color="auto" w:sz="4" w:space="0"/>
              <w:bottom w:val="single" w:color="auto" w:sz="4" w:space="0"/>
              <w:right w:val="single" w:color="auto" w:sz="4" w:space="0"/>
            </w:tcBorders>
            <w:vAlign w:val="center"/>
          </w:tcPr>
          <w:p w14:paraId="7E4647B5">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720" w:type="dxa"/>
            <w:tcBorders>
              <w:top w:val="single" w:color="auto" w:sz="4" w:space="0"/>
              <w:left w:val="single" w:color="auto" w:sz="4" w:space="0"/>
              <w:bottom w:val="single" w:color="auto" w:sz="4" w:space="0"/>
              <w:right w:val="single" w:color="auto" w:sz="4" w:space="0"/>
            </w:tcBorders>
            <w:vAlign w:val="center"/>
          </w:tcPr>
          <w:p w14:paraId="441762F0">
            <w:pPr>
              <w:widowControl/>
              <w:spacing w:line="260" w:lineRule="exact"/>
              <w:ind w:firstLine="200"/>
              <w:jc w:val="center"/>
              <w:rPr>
                <w:rFonts w:hint="eastAsia" w:ascii="仿宋" w:hAnsi="仿宋" w:eastAsia="仿宋" w:cs="仿宋"/>
                <w:color w:val="000000"/>
                <w:sz w:val="28"/>
                <w:szCs w:val="28"/>
              </w:rPr>
            </w:pPr>
          </w:p>
        </w:tc>
        <w:tc>
          <w:tcPr>
            <w:tcW w:w="763" w:type="dxa"/>
            <w:gridSpan w:val="2"/>
            <w:tcBorders>
              <w:top w:val="single" w:color="auto" w:sz="4" w:space="0"/>
              <w:left w:val="single" w:color="auto" w:sz="4" w:space="0"/>
              <w:bottom w:val="single" w:color="auto" w:sz="4" w:space="0"/>
              <w:right w:val="single" w:color="auto" w:sz="4" w:space="0"/>
            </w:tcBorders>
            <w:vAlign w:val="center"/>
          </w:tcPr>
          <w:p w14:paraId="02F28158">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4</w:t>
            </w:r>
          </w:p>
        </w:tc>
        <w:tc>
          <w:tcPr>
            <w:tcW w:w="1223" w:type="dxa"/>
            <w:gridSpan w:val="2"/>
            <w:tcBorders>
              <w:top w:val="single" w:color="auto" w:sz="4" w:space="0"/>
              <w:left w:val="single" w:color="auto" w:sz="4" w:space="0"/>
              <w:bottom w:val="single" w:color="auto" w:sz="4" w:space="0"/>
              <w:right w:val="single" w:color="auto" w:sz="4" w:space="0"/>
            </w:tcBorders>
            <w:vAlign w:val="center"/>
          </w:tcPr>
          <w:p w14:paraId="36455EC7">
            <w:pPr>
              <w:widowControl/>
              <w:spacing w:line="260" w:lineRule="exact"/>
              <w:ind w:firstLine="200"/>
              <w:jc w:val="center"/>
              <w:rPr>
                <w:rFonts w:hint="eastAsia" w:ascii="仿宋" w:hAnsi="仿宋" w:eastAsia="仿宋" w:cs="仿宋"/>
                <w:color w:val="000000"/>
                <w:sz w:val="28"/>
                <w:szCs w:val="28"/>
              </w:rPr>
            </w:pPr>
          </w:p>
        </w:tc>
      </w:tr>
      <w:tr w14:paraId="417BF167">
        <w:tblPrEx>
          <w:tblCellMar>
            <w:top w:w="0" w:type="dxa"/>
            <w:left w:w="108" w:type="dxa"/>
            <w:bottom w:w="0" w:type="dxa"/>
            <w:right w:w="108" w:type="dxa"/>
          </w:tblCellMar>
        </w:tblPrEx>
        <w:trPr>
          <w:trHeight w:val="574" w:hRule="atLeast"/>
        </w:trPr>
        <w:tc>
          <w:tcPr>
            <w:tcW w:w="8535" w:type="dxa"/>
            <w:gridSpan w:val="7"/>
            <w:tcBorders>
              <w:top w:val="single" w:color="auto" w:sz="4" w:space="0"/>
              <w:left w:val="single" w:color="auto" w:sz="4" w:space="0"/>
              <w:bottom w:val="single" w:color="auto" w:sz="4" w:space="0"/>
              <w:right w:val="single" w:color="auto" w:sz="4" w:space="0"/>
            </w:tcBorders>
            <w:vAlign w:val="center"/>
          </w:tcPr>
          <w:p w14:paraId="317CF0E6">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总得分</w:t>
            </w:r>
          </w:p>
        </w:tc>
        <w:tc>
          <w:tcPr>
            <w:tcW w:w="1223" w:type="dxa"/>
            <w:gridSpan w:val="2"/>
            <w:tcBorders>
              <w:top w:val="single" w:color="auto" w:sz="4" w:space="0"/>
              <w:left w:val="single" w:color="auto" w:sz="4" w:space="0"/>
              <w:bottom w:val="single" w:color="auto" w:sz="4" w:space="0"/>
              <w:right w:val="single" w:color="auto" w:sz="4" w:space="0"/>
            </w:tcBorders>
            <w:vAlign w:val="center"/>
          </w:tcPr>
          <w:p w14:paraId="1B991409">
            <w:pPr>
              <w:widowControl/>
              <w:spacing w:line="260" w:lineRule="exact"/>
              <w:ind w:firstLine="200"/>
              <w:jc w:val="center"/>
              <w:rPr>
                <w:rFonts w:hint="eastAsia" w:ascii="仿宋" w:hAnsi="仿宋" w:eastAsia="仿宋" w:cs="仿宋"/>
                <w:color w:val="000000"/>
                <w:sz w:val="28"/>
                <w:szCs w:val="28"/>
              </w:rPr>
            </w:pPr>
          </w:p>
        </w:tc>
      </w:tr>
      <w:tr w14:paraId="4493A988">
        <w:tblPrEx>
          <w:tblCellMar>
            <w:top w:w="0" w:type="dxa"/>
            <w:left w:w="108" w:type="dxa"/>
            <w:bottom w:w="0" w:type="dxa"/>
            <w:right w:w="108" w:type="dxa"/>
          </w:tblCellMar>
        </w:tblPrEx>
        <w:trPr>
          <w:trHeight w:val="619" w:hRule="atLeast"/>
        </w:trPr>
        <w:tc>
          <w:tcPr>
            <w:tcW w:w="9758" w:type="dxa"/>
            <w:gridSpan w:val="9"/>
            <w:tcBorders>
              <w:top w:val="single" w:color="auto" w:sz="4" w:space="0"/>
              <w:left w:val="single" w:color="auto" w:sz="4" w:space="0"/>
              <w:bottom w:val="single" w:color="auto" w:sz="4" w:space="0"/>
              <w:right w:val="single" w:color="auto" w:sz="4" w:space="0"/>
            </w:tcBorders>
            <w:vAlign w:val="center"/>
          </w:tcPr>
          <w:p w14:paraId="589B41A5">
            <w:pPr>
              <w:widowControl/>
              <w:spacing w:line="400" w:lineRule="exact"/>
              <w:ind w:firstLine="200"/>
              <w:rPr>
                <w:rFonts w:hint="eastAsia" w:ascii="仿宋" w:hAnsi="仿宋" w:eastAsia="仿宋" w:cs="仿宋"/>
                <w:b/>
                <w:bCs/>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b/>
                <w:bCs/>
                <w:color w:val="000000"/>
                <w:sz w:val="28"/>
                <w:szCs w:val="28"/>
              </w:rPr>
              <w:t xml:space="preserve">附件1-3： </w:t>
            </w:r>
          </w:p>
          <w:p w14:paraId="6BA4AA88">
            <w:pPr>
              <w:widowControl/>
              <w:ind w:firstLine="240"/>
              <w:jc w:val="center"/>
              <w:rPr>
                <w:rFonts w:hint="eastAsia" w:ascii="仿宋" w:hAnsi="仿宋" w:eastAsia="仿宋" w:cs="仿宋"/>
                <w:color w:val="000000"/>
                <w:sz w:val="28"/>
                <w:szCs w:val="28"/>
              </w:rPr>
            </w:pPr>
            <w:r>
              <w:rPr>
                <w:rFonts w:hint="eastAsia" w:ascii="仿宋" w:hAnsi="仿宋" w:eastAsia="仿宋" w:cs="仿宋"/>
                <w:color w:val="000000"/>
                <w:sz w:val="28"/>
                <w:szCs w:val="28"/>
              </w:rPr>
              <w:t>保安（含消防）服务考核标准</w:t>
            </w:r>
          </w:p>
        </w:tc>
      </w:tr>
      <w:tr w14:paraId="5036D75F">
        <w:tblPrEx>
          <w:tblCellMar>
            <w:top w:w="0" w:type="dxa"/>
            <w:left w:w="108" w:type="dxa"/>
            <w:bottom w:w="0" w:type="dxa"/>
            <w:right w:w="108" w:type="dxa"/>
          </w:tblCellMar>
        </w:tblPrEx>
        <w:trPr>
          <w:trHeight w:val="328" w:hRule="atLeast"/>
        </w:trPr>
        <w:tc>
          <w:tcPr>
            <w:tcW w:w="872" w:type="dxa"/>
            <w:tcBorders>
              <w:top w:val="single" w:color="auto" w:sz="4" w:space="0"/>
              <w:left w:val="single" w:color="auto" w:sz="4" w:space="0"/>
              <w:bottom w:val="single" w:color="auto" w:sz="4" w:space="0"/>
              <w:right w:val="single" w:color="auto" w:sz="4" w:space="0"/>
            </w:tcBorders>
            <w:vAlign w:val="center"/>
          </w:tcPr>
          <w:p w14:paraId="3C90D4BA">
            <w:pPr>
              <w:widowControl/>
              <w:spacing w:line="4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项目</w:t>
            </w:r>
          </w:p>
        </w:tc>
        <w:tc>
          <w:tcPr>
            <w:tcW w:w="4515" w:type="dxa"/>
            <w:tcBorders>
              <w:top w:val="single" w:color="auto" w:sz="4" w:space="0"/>
              <w:left w:val="single" w:color="auto" w:sz="4" w:space="0"/>
              <w:bottom w:val="single" w:color="auto" w:sz="4" w:space="0"/>
              <w:right w:val="single" w:color="auto" w:sz="4" w:space="0"/>
            </w:tcBorders>
            <w:vAlign w:val="center"/>
          </w:tcPr>
          <w:p w14:paraId="6F970FCF">
            <w:pPr>
              <w:widowControl/>
              <w:spacing w:line="40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标准要求</w:t>
            </w:r>
          </w:p>
        </w:tc>
        <w:tc>
          <w:tcPr>
            <w:tcW w:w="1617" w:type="dxa"/>
            <w:tcBorders>
              <w:top w:val="single" w:color="auto" w:sz="4" w:space="0"/>
              <w:left w:val="single" w:color="auto" w:sz="4" w:space="0"/>
              <w:bottom w:val="single" w:color="auto" w:sz="4" w:space="0"/>
              <w:right w:val="single" w:color="auto" w:sz="4" w:space="0"/>
            </w:tcBorders>
            <w:vAlign w:val="center"/>
          </w:tcPr>
          <w:p w14:paraId="007ABA71">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扣分标准</w:t>
            </w:r>
          </w:p>
        </w:tc>
        <w:tc>
          <w:tcPr>
            <w:tcW w:w="840" w:type="dxa"/>
            <w:gridSpan w:val="3"/>
            <w:tcBorders>
              <w:top w:val="single" w:color="auto" w:sz="4" w:space="0"/>
              <w:left w:val="single" w:color="auto" w:sz="4" w:space="0"/>
              <w:bottom w:val="single" w:color="auto" w:sz="4" w:space="0"/>
              <w:right w:val="single" w:color="auto" w:sz="4" w:space="0"/>
            </w:tcBorders>
            <w:vAlign w:val="center"/>
          </w:tcPr>
          <w:p w14:paraId="6CE9912D">
            <w:pPr>
              <w:widowControl/>
              <w:spacing w:line="26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扣分</w:t>
            </w:r>
          </w:p>
        </w:tc>
        <w:tc>
          <w:tcPr>
            <w:tcW w:w="772" w:type="dxa"/>
            <w:gridSpan w:val="2"/>
            <w:tcBorders>
              <w:top w:val="single" w:color="auto" w:sz="4" w:space="0"/>
              <w:left w:val="single" w:color="auto" w:sz="4" w:space="0"/>
              <w:bottom w:val="single" w:color="auto" w:sz="4" w:space="0"/>
              <w:right w:val="single" w:color="auto" w:sz="4" w:space="0"/>
            </w:tcBorders>
            <w:vAlign w:val="center"/>
          </w:tcPr>
          <w:p w14:paraId="2619FD90">
            <w:pPr>
              <w:widowControl/>
              <w:spacing w:line="26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rPr>
              <w:t>分值</w:t>
            </w:r>
          </w:p>
        </w:tc>
        <w:tc>
          <w:tcPr>
            <w:tcW w:w="1142" w:type="dxa"/>
            <w:tcBorders>
              <w:top w:val="single" w:color="auto" w:sz="4" w:space="0"/>
              <w:left w:val="single" w:color="auto" w:sz="4" w:space="0"/>
              <w:bottom w:val="single" w:color="auto" w:sz="4" w:space="0"/>
              <w:right w:val="single" w:color="auto" w:sz="4" w:space="0"/>
            </w:tcBorders>
            <w:vAlign w:val="center"/>
          </w:tcPr>
          <w:p w14:paraId="57C831FC">
            <w:pPr>
              <w:widowControl/>
              <w:spacing w:line="26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rPr>
              <w:t>得分（满分100分）</w:t>
            </w:r>
          </w:p>
        </w:tc>
      </w:tr>
      <w:tr w14:paraId="4B3E7D57">
        <w:tblPrEx>
          <w:tblCellMar>
            <w:top w:w="0" w:type="dxa"/>
            <w:left w:w="108" w:type="dxa"/>
            <w:bottom w:w="0" w:type="dxa"/>
            <w:right w:w="108" w:type="dxa"/>
          </w:tblCellMar>
        </w:tblPrEx>
        <w:trPr>
          <w:trHeight w:val="555" w:hRule="atLeast"/>
        </w:trPr>
        <w:tc>
          <w:tcPr>
            <w:tcW w:w="872" w:type="dxa"/>
            <w:vMerge w:val="restart"/>
            <w:tcBorders>
              <w:top w:val="single" w:color="auto" w:sz="4" w:space="0"/>
              <w:left w:val="single" w:color="auto" w:sz="4" w:space="0"/>
              <w:bottom w:val="single" w:color="auto" w:sz="4" w:space="0"/>
              <w:right w:val="single" w:color="auto" w:sz="4" w:space="0"/>
            </w:tcBorders>
            <w:vAlign w:val="center"/>
          </w:tcPr>
          <w:p w14:paraId="1284B7D4">
            <w:pPr>
              <w:widowControl/>
              <w:spacing w:line="4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基本要求（10分）</w:t>
            </w:r>
          </w:p>
        </w:tc>
        <w:tc>
          <w:tcPr>
            <w:tcW w:w="4515" w:type="dxa"/>
            <w:tcBorders>
              <w:top w:val="single" w:color="auto" w:sz="4" w:space="0"/>
              <w:left w:val="single" w:color="auto" w:sz="4" w:space="0"/>
              <w:bottom w:val="single" w:color="auto" w:sz="4" w:space="0"/>
              <w:right w:val="single" w:color="auto" w:sz="4" w:space="0"/>
            </w:tcBorders>
            <w:vAlign w:val="center"/>
          </w:tcPr>
          <w:p w14:paraId="2F7BDC0E">
            <w:pPr>
              <w:widowControl/>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必须按甲方认可的人数安排保安人员。</w:t>
            </w:r>
          </w:p>
        </w:tc>
        <w:tc>
          <w:tcPr>
            <w:tcW w:w="1617" w:type="dxa"/>
            <w:tcBorders>
              <w:top w:val="single" w:color="auto" w:sz="4" w:space="0"/>
              <w:left w:val="single" w:color="auto" w:sz="4" w:space="0"/>
              <w:bottom w:val="single" w:color="auto" w:sz="4" w:space="0"/>
              <w:right w:val="single" w:color="auto" w:sz="4" w:space="0"/>
            </w:tcBorders>
            <w:vAlign w:val="center"/>
          </w:tcPr>
          <w:p w14:paraId="59CC78B9">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840" w:type="dxa"/>
            <w:gridSpan w:val="3"/>
            <w:tcBorders>
              <w:top w:val="single" w:color="auto" w:sz="4" w:space="0"/>
              <w:left w:val="single" w:color="auto" w:sz="4" w:space="0"/>
              <w:bottom w:val="single" w:color="auto" w:sz="4" w:space="0"/>
              <w:right w:val="single" w:color="auto" w:sz="4" w:space="0"/>
            </w:tcBorders>
            <w:vAlign w:val="center"/>
          </w:tcPr>
          <w:p w14:paraId="462BC747">
            <w:pPr>
              <w:widowControl/>
              <w:spacing w:line="400" w:lineRule="exact"/>
              <w:ind w:firstLine="200"/>
              <w:jc w:val="center"/>
              <w:rPr>
                <w:rFonts w:hint="eastAsia" w:ascii="仿宋" w:hAnsi="仿宋" w:eastAsia="仿宋" w:cs="仿宋"/>
                <w:color w:val="000000"/>
                <w:sz w:val="28"/>
                <w:szCs w:val="28"/>
              </w:rPr>
            </w:pPr>
          </w:p>
        </w:tc>
        <w:tc>
          <w:tcPr>
            <w:tcW w:w="772" w:type="dxa"/>
            <w:gridSpan w:val="2"/>
            <w:tcBorders>
              <w:top w:val="single" w:color="auto" w:sz="4" w:space="0"/>
              <w:left w:val="single" w:color="auto" w:sz="4" w:space="0"/>
              <w:bottom w:val="single" w:color="auto" w:sz="4" w:space="0"/>
              <w:right w:val="single" w:color="auto" w:sz="4" w:space="0"/>
            </w:tcBorders>
            <w:vAlign w:val="center"/>
          </w:tcPr>
          <w:p w14:paraId="6ECDAF87">
            <w:pPr>
              <w:widowControl/>
              <w:spacing w:line="40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4</w:t>
            </w:r>
          </w:p>
        </w:tc>
        <w:tc>
          <w:tcPr>
            <w:tcW w:w="1142" w:type="dxa"/>
            <w:tcBorders>
              <w:top w:val="single" w:color="auto" w:sz="4" w:space="0"/>
              <w:left w:val="single" w:color="auto" w:sz="4" w:space="0"/>
              <w:bottom w:val="single" w:color="auto" w:sz="4" w:space="0"/>
              <w:right w:val="single" w:color="auto" w:sz="4" w:space="0"/>
            </w:tcBorders>
            <w:vAlign w:val="center"/>
          </w:tcPr>
          <w:p w14:paraId="111CE700">
            <w:pPr>
              <w:widowControl/>
              <w:spacing w:line="400" w:lineRule="exact"/>
              <w:ind w:firstLine="200"/>
              <w:jc w:val="center"/>
              <w:rPr>
                <w:rFonts w:hint="eastAsia" w:ascii="仿宋" w:hAnsi="仿宋" w:eastAsia="仿宋" w:cs="仿宋"/>
                <w:color w:val="000000"/>
                <w:sz w:val="28"/>
                <w:szCs w:val="28"/>
              </w:rPr>
            </w:pPr>
          </w:p>
        </w:tc>
      </w:tr>
      <w:tr w14:paraId="62A49A6D">
        <w:tblPrEx>
          <w:tblCellMar>
            <w:top w:w="0" w:type="dxa"/>
            <w:left w:w="108" w:type="dxa"/>
            <w:bottom w:w="0" w:type="dxa"/>
            <w:right w:w="108" w:type="dxa"/>
          </w:tblCellMar>
        </w:tblPrEx>
        <w:trPr>
          <w:trHeight w:val="555"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5A0F8E11">
            <w:pPr>
              <w:widowControl/>
              <w:spacing w:line="40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593BD075">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统一服装，文明、主动服务， 佩戴胸牌上岗，在岗在位，不得串岗。</w:t>
            </w:r>
          </w:p>
        </w:tc>
        <w:tc>
          <w:tcPr>
            <w:tcW w:w="1617" w:type="dxa"/>
            <w:tcBorders>
              <w:top w:val="single" w:color="auto" w:sz="4" w:space="0"/>
              <w:left w:val="single" w:color="auto" w:sz="4" w:space="0"/>
              <w:bottom w:val="single" w:color="auto" w:sz="4" w:space="0"/>
              <w:right w:val="single" w:color="auto" w:sz="4" w:space="0"/>
            </w:tcBorders>
            <w:vAlign w:val="center"/>
          </w:tcPr>
          <w:p w14:paraId="53533B90">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840" w:type="dxa"/>
            <w:gridSpan w:val="3"/>
            <w:tcBorders>
              <w:top w:val="single" w:color="auto" w:sz="4" w:space="0"/>
              <w:left w:val="single" w:color="auto" w:sz="4" w:space="0"/>
              <w:bottom w:val="single" w:color="auto" w:sz="4" w:space="0"/>
              <w:right w:val="single" w:color="auto" w:sz="4" w:space="0"/>
            </w:tcBorders>
            <w:vAlign w:val="center"/>
          </w:tcPr>
          <w:p w14:paraId="0EC4891F">
            <w:pPr>
              <w:widowControl/>
              <w:spacing w:line="400" w:lineRule="exact"/>
              <w:ind w:firstLine="200"/>
              <w:jc w:val="center"/>
              <w:rPr>
                <w:rFonts w:hint="eastAsia" w:ascii="仿宋" w:hAnsi="仿宋" w:eastAsia="仿宋" w:cs="仿宋"/>
                <w:color w:val="000000"/>
                <w:sz w:val="28"/>
                <w:szCs w:val="28"/>
              </w:rPr>
            </w:pPr>
          </w:p>
        </w:tc>
        <w:tc>
          <w:tcPr>
            <w:tcW w:w="772" w:type="dxa"/>
            <w:gridSpan w:val="2"/>
            <w:tcBorders>
              <w:top w:val="single" w:color="auto" w:sz="4" w:space="0"/>
              <w:left w:val="single" w:color="auto" w:sz="4" w:space="0"/>
              <w:bottom w:val="single" w:color="auto" w:sz="4" w:space="0"/>
              <w:right w:val="single" w:color="auto" w:sz="4" w:space="0"/>
            </w:tcBorders>
            <w:vAlign w:val="center"/>
          </w:tcPr>
          <w:p w14:paraId="4A5D7E1D">
            <w:pPr>
              <w:widowControl/>
              <w:spacing w:line="40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3</w:t>
            </w:r>
          </w:p>
        </w:tc>
        <w:tc>
          <w:tcPr>
            <w:tcW w:w="1142" w:type="dxa"/>
            <w:tcBorders>
              <w:top w:val="single" w:color="auto" w:sz="4" w:space="0"/>
              <w:left w:val="single" w:color="auto" w:sz="4" w:space="0"/>
              <w:bottom w:val="single" w:color="auto" w:sz="4" w:space="0"/>
              <w:right w:val="single" w:color="auto" w:sz="4" w:space="0"/>
            </w:tcBorders>
            <w:vAlign w:val="center"/>
          </w:tcPr>
          <w:p w14:paraId="1C23BAE7">
            <w:pPr>
              <w:widowControl/>
              <w:spacing w:line="400" w:lineRule="exact"/>
              <w:ind w:firstLine="200"/>
              <w:jc w:val="center"/>
              <w:rPr>
                <w:rFonts w:hint="eastAsia" w:ascii="仿宋" w:hAnsi="仿宋" w:eastAsia="仿宋" w:cs="仿宋"/>
                <w:color w:val="000000"/>
                <w:sz w:val="28"/>
                <w:szCs w:val="28"/>
              </w:rPr>
            </w:pPr>
          </w:p>
        </w:tc>
      </w:tr>
      <w:tr w14:paraId="19AB1E43">
        <w:tblPrEx>
          <w:tblCellMar>
            <w:top w:w="0" w:type="dxa"/>
            <w:left w:w="108" w:type="dxa"/>
            <w:bottom w:w="0" w:type="dxa"/>
            <w:right w:w="108" w:type="dxa"/>
          </w:tblCellMar>
        </w:tblPrEx>
        <w:trPr>
          <w:trHeight w:val="555"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769862DE">
            <w:pPr>
              <w:widowControl/>
              <w:spacing w:line="40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353681DB">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严格遵守甲方各项规章制度和注意事项。</w:t>
            </w:r>
          </w:p>
        </w:tc>
        <w:tc>
          <w:tcPr>
            <w:tcW w:w="1617" w:type="dxa"/>
            <w:tcBorders>
              <w:top w:val="single" w:color="auto" w:sz="4" w:space="0"/>
              <w:left w:val="single" w:color="auto" w:sz="4" w:space="0"/>
              <w:bottom w:val="single" w:color="auto" w:sz="4" w:space="0"/>
              <w:right w:val="single" w:color="auto" w:sz="4" w:space="0"/>
            </w:tcBorders>
            <w:vAlign w:val="center"/>
          </w:tcPr>
          <w:p w14:paraId="34095469">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840" w:type="dxa"/>
            <w:gridSpan w:val="3"/>
            <w:tcBorders>
              <w:top w:val="single" w:color="auto" w:sz="4" w:space="0"/>
              <w:left w:val="single" w:color="auto" w:sz="4" w:space="0"/>
              <w:bottom w:val="single" w:color="auto" w:sz="4" w:space="0"/>
              <w:right w:val="single" w:color="auto" w:sz="4" w:space="0"/>
            </w:tcBorders>
            <w:vAlign w:val="center"/>
          </w:tcPr>
          <w:p w14:paraId="19BC82AC">
            <w:pPr>
              <w:widowControl/>
              <w:spacing w:line="400" w:lineRule="exact"/>
              <w:ind w:firstLine="200"/>
              <w:jc w:val="center"/>
              <w:rPr>
                <w:rFonts w:hint="eastAsia" w:ascii="仿宋" w:hAnsi="仿宋" w:eastAsia="仿宋" w:cs="仿宋"/>
                <w:color w:val="000000"/>
                <w:sz w:val="28"/>
                <w:szCs w:val="28"/>
              </w:rPr>
            </w:pPr>
          </w:p>
        </w:tc>
        <w:tc>
          <w:tcPr>
            <w:tcW w:w="772" w:type="dxa"/>
            <w:gridSpan w:val="2"/>
            <w:tcBorders>
              <w:top w:val="single" w:color="auto" w:sz="4" w:space="0"/>
              <w:left w:val="single" w:color="auto" w:sz="4" w:space="0"/>
              <w:bottom w:val="single" w:color="auto" w:sz="4" w:space="0"/>
              <w:right w:val="single" w:color="auto" w:sz="4" w:space="0"/>
            </w:tcBorders>
            <w:vAlign w:val="center"/>
          </w:tcPr>
          <w:p w14:paraId="3794C9D7">
            <w:pPr>
              <w:widowControl/>
              <w:spacing w:line="40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3</w:t>
            </w:r>
          </w:p>
        </w:tc>
        <w:tc>
          <w:tcPr>
            <w:tcW w:w="1142" w:type="dxa"/>
            <w:tcBorders>
              <w:top w:val="single" w:color="auto" w:sz="4" w:space="0"/>
              <w:left w:val="single" w:color="auto" w:sz="4" w:space="0"/>
              <w:bottom w:val="single" w:color="auto" w:sz="4" w:space="0"/>
              <w:right w:val="single" w:color="auto" w:sz="4" w:space="0"/>
            </w:tcBorders>
            <w:vAlign w:val="center"/>
          </w:tcPr>
          <w:p w14:paraId="60F4D41E">
            <w:pPr>
              <w:widowControl/>
              <w:spacing w:line="400" w:lineRule="exact"/>
              <w:ind w:firstLine="200"/>
              <w:jc w:val="center"/>
              <w:rPr>
                <w:rFonts w:hint="eastAsia" w:ascii="仿宋" w:hAnsi="仿宋" w:eastAsia="仿宋" w:cs="仿宋"/>
                <w:color w:val="000000"/>
                <w:sz w:val="28"/>
                <w:szCs w:val="28"/>
              </w:rPr>
            </w:pPr>
          </w:p>
        </w:tc>
      </w:tr>
      <w:tr w14:paraId="7D268D6F">
        <w:tblPrEx>
          <w:tblCellMar>
            <w:top w:w="0" w:type="dxa"/>
            <w:left w:w="108" w:type="dxa"/>
            <w:bottom w:w="0" w:type="dxa"/>
            <w:right w:w="108" w:type="dxa"/>
          </w:tblCellMar>
        </w:tblPrEx>
        <w:trPr>
          <w:trHeight w:val="558" w:hRule="atLeast"/>
        </w:trPr>
        <w:tc>
          <w:tcPr>
            <w:tcW w:w="872" w:type="dxa"/>
            <w:vMerge w:val="restart"/>
            <w:tcBorders>
              <w:top w:val="single" w:color="auto" w:sz="4" w:space="0"/>
              <w:left w:val="single" w:color="auto" w:sz="4" w:space="0"/>
              <w:bottom w:val="single" w:color="auto" w:sz="4" w:space="0"/>
              <w:right w:val="single" w:color="auto" w:sz="4" w:space="0"/>
            </w:tcBorders>
            <w:vAlign w:val="center"/>
          </w:tcPr>
          <w:p w14:paraId="75A91F7C">
            <w:pPr>
              <w:widowControl/>
              <w:spacing w:line="40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消监控值班及巡逻保安（40分）</w:t>
            </w:r>
          </w:p>
        </w:tc>
        <w:tc>
          <w:tcPr>
            <w:tcW w:w="4515" w:type="dxa"/>
            <w:tcBorders>
              <w:top w:val="single" w:color="auto" w:sz="4" w:space="0"/>
              <w:left w:val="single" w:color="auto" w:sz="4" w:space="0"/>
              <w:bottom w:val="single" w:color="auto" w:sz="4" w:space="0"/>
              <w:right w:val="single" w:color="auto" w:sz="4" w:space="0"/>
            </w:tcBorders>
            <w:vAlign w:val="center"/>
          </w:tcPr>
          <w:p w14:paraId="3C7E44D9">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遇重大突发事件或发生医疗纠纷时，保安员应全力稳定局势，并立即向甲方领导、总值班报告或打110报警。</w:t>
            </w:r>
          </w:p>
        </w:tc>
        <w:tc>
          <w:tcPr>
            <w:tcW w:w="1617" w:type="dxa"/>
            <w:tcBorders>
              <w:top w:val="single" w:color="auto" w:sz="4" w:space="0"/>
              <w:left w:val="single" w:color="auto" w:sz="4" w:space="0"/>
              <w:bottom w:val="single" w:color="auto" w:sz="4" w:space="0"/>
              <w:right w:val="single" w:color="auto" w:sz="4" w:space="0"/>
            </w:tcBorders>
            <w:vAlign w:val="center"/>
          </w:tcPr>
          <w:p w14:paraId="4E89A00A">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每发现一次不合要求扣2分。</w:t>
            </w:r>
          </w:p>
        </w:tc>
        <w:tc>
          <w:tcPr>
            <w:tcW w:w="840" w:type="dxa"/>
            <w:gridSpan w:val="3"/>
            <w:tcBorders>
              <w:top w:val="single" w:color="auto" w:sz="4" w:space="0"/>
              <w:left w:val="single" w:color="auto" w:sz="4" w:space="0"/>
              <w:bottom w:val="single" w:color="auto" w:sz="4" w:space="0"/>
              <w:right w:val="single" w:color="auto" w:sz="4" w:space="0"/>
            </w:tcBorders>
            <w:vAlign w:val="center"/>
          </w:tcPr>
          <w:p w14:paraId="54005FA6">
            <w:pPr>
              <w:widowControl/>
              <w:spacing w:line="400" w:lineRule="exact"/>
              <w:ind w:firstLine="200"/>
              <w:jc w:val="center"/>
              <w:rPr>
                <w:rFonts w:hint="eastAsia" w:ascii="仿宋" w:hAnsi="仿宋" w:eastAsia="仿宋" w:cs="仿宋"/>
                <w:color w:val="000000"/>
                <w:sz w:val="28"/>
                <w:szCs w:val="28"/>
              </w:rPr>
            </w:pPr>
          </w:p>
        </w:tc>
        <w:tc>
          <w:tcPr>
            <w:tcW w:w="772" w:type="dxa"/>
            <w:gridSpan w:val="2"/>
            <w:tcBorders>
              <w:top w:val="single" w:color="auto" w:sz="4" w:space="0"/>
              <w:left w:val="single" w:color="auto" w:sz="4" w:space="0"/>
              <w:bottom w:val="single" w:color="auto" w:sz="4" w:space="0"/>
              <w:right w:val="single" w:color="auto" w:sz="4" w:space="0"/>
            </w:tcBorders>
            <w:vAlign w:val="center"/>
          </w:tcPr>
          <w:p w14:paraId="77A5BDE5">
            <w:pPr>
              <w:widowControl/>
              <w:spacing w:line="40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5</w:t>
            </w:r>
          </w:p>
        </w:tc>
        <w:tc>
          <w:tcPr>
            <w:tcW w:w="1142" w:type="dxa"/>
            <w:tcBorders>
              <w:top w:val="single" w:color="auto" w:sz="4" w:space="0"/>
              <w:left w:val="single" w:color="auto" w:sz="4" w:space="0"/>
              <w:bottom w:val="single" w:color="auto" w:sz="4" w:space="0"/>
              <w:right w:val="single" w:color="auto" w:sz="4" w:space="0"/>
            </w:tcBorders>
            <w:vAlign w:val="center"/>
          </w:tcPr>
          <w:p w14:paraId="249C1FAD">
            <w:pPr>
              <w:widowControl/>
              <w:spacing w:line="40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w:t>
            </w:r>
          </w:p>
        </w:tc>
      </w:tr>
      <w:tr w14:paraId="13F8D35D">
        <w:tblPrEx>
          <w:tblCellMar>
            <w:top w:w="0" w:type="dxa"/>
            <w:left w:w="108" w:type="dxa"/>
            <w:bottom w:w="0" w:type="dxa"/>
            <w:right w:w="108" w:type="dxa"/>
          </w:tblCellMar>
        </w:tblPrEx>
        <w:trPr>
          <w:trHeight w:val="471"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1FE2EFE6">
            <w:pPr>
              <w:widowControl/>
              <w:spacing w:line="40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37C2BAE2">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消监控室值班人员实行24小时值班，值班期间禁止睡觉，做与工作无关的事。</w:t>
            </w:r>
          </w:p>
        </w:tc>
        <w:tc>
          <w:tcPr>
            <w:tcW w:w="1617" w:type="dxa"/>
            <w:tcBorders>
              <w:top w:val="single" w:color="auto" w:sz="4" w:space="0"/>
              <w:left w:val="single" w:color="auto" w:sz="4" w:space="0"/>
              <w:bottom w:val="single" w:color="auto" w:sz="4" w:space="0"/>
              <w:right w:val="single" w:color="auto" w:sz="4" w:space="0"/>
            </w:tcBorders>
            <w:vAlign w:val="center"/>
          </w:tcPr>
          <w:p w14:paraId="170DF37D">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每发现一次不合要求扣2分。</w:t>
            </w:r>
          </w:p>
        </w:tc>
        <w:tc>
          <w:tcPr>
            <w:tcW w:w="840" w:type="dxa"/>
            <w:gridSpan w:val="3"/>
            <w:tcBorders>
              <w:top w:val="single" w:color="auto" w:sz="4" w:space="0"/>
              <w:left w:val="single" w:color="auto" w:sz="4" w:space="0"/>
              <w:bottom w:val="single" w:color="auto" w:sz="4" w:space="0"/>
              <w:right w:val="single" w:color="auto" w:sz="4" w:space="0"/>
            </w:tcBorders>
            <w:vAlign w:val="center"/>
          </w:tcPr>
          <w:p w14:paraId="05897EF1">
            <w:pPr>
              <w:widowControl/>
              <w:spacing w:line="400" w:lineRule="exact"/>
              <w:ind w:firstLine="200"/>
              <w:jc w:val="center"/>
              <w:rPr>
                <w:rFonts w:hint="eastAsia" w:ascii="仿宋" w:hAnsi="仿宋" w:eastAsia="仿宋" w:cs="仿宋"/>
                <w:color w:val="000000"/>
                <w:sz w:val="28"/>
                <w:szCs w:val="28"/>
              </w:rPr>
            </w:pPr>
          </w:p>
        </w:tc>
        <w:tc>
          <w:tcPr>
            <w:tcW w:w="772" w:type="dxa"/>
            <w:gridSpan w:val="2"/>
            <w:tcBorders>
              <w:top w:val="single" w:color="auto" w:sz="4" w:space="0"/>
              <w:left w:val="single" w:color="auto" w:sz="4" w:space="0"/>
              <w:bottom w:val="single" w:color="auto" w:sz="4" w:space="0"/>
              <w:right w:val="single" w:color="auto" w:sz="4" w:space="0"/>
            </w:tcBorders>
            <w:vAlign w:val="center"/>
          </w:tcPr>
          <w:p w14:paraId="7863EE60">
            <w:pPr>
              <w:widowControl/>
              <w:spacing w:line="40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5</w:t>
            </w:r>
          </w:p>
        </w:tc>
        <w:tc>
          <w:tcPr>
            <w:tcW w:w="1142" w:type="dxa"/>
            <w:tcBorders>
              <w:top w:val="single" w:color="auto" w:sz="4" w:space="0"/>
              <w:left w:val="single" w:color="auto" w:sz="4" w:space="0"/>
              <w:bottom w:val="single" w:color="auto" w:sz="4" w:space="0"/>
              <w:right w:val="single" w:color="auto" w:sz="4" w:space="0"/>
            </w:tcBorders>
            <w:vAlign w:val="center"/>
          </w:tcPr>
          <w:p w14:paraId="7E32DE95">
            <w:pPr>
              <w:widowControl/>
              <w:spacing w:line="40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w:t>
            </w:r>
          </w:p>
        </w:tc>
      </w:tr>
      <w:tr w14:paraId="439D77F0">
        <w:tblPrEx>
          <w:tblCellMar>
            <w:top w:w="0" w:type="dxa"/>
            <w:left w:w="108" w:type="dxa"/>
            <w:bottom w:w="0" w:type="dxa"/>
            <w:right w:w="108" w:type="dxa"/>
          </w:tblCellMar>
        </w:tblPrEx>
        <w:trPr>
          <w:trHeight w:val="657"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003FB64E">
            <w:pPr>
              <w:widowControl/>
              <w:spacing w:line="40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3335B11D">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熟练掌握各种消防、安防技术设备的使用。</w:t>
            </w:r>
          </w:p>
        </w:tc>
        <w:tc>
          <w:tcPr>
            <w:tcW w:w="1617" w:type="dxa"/>
            <w:tcBorders>
              <w:top w:val="single" w:color="auto" w:sz="4" w:space="0"/>
              <w:left w:val="single" w:color="auto" w:sz="4" w:space="0"/>
              <w:bottom w:val="single" w:color="auto" w:sz="4" w:space="0"/>
              <w:right w:val="single" w:color="auto" w:sz="4" w:space="0"/>
            </w:tcBorders>
            <w:vAlign w:val="center"/>
          </w:tcPr>
          <w:p w14:paraId="421A9468">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840" w:type="dxa"/>
            <w:gridSpan w:val="3"/>
            <w:tcBorders>
              <w:top w:val="single" w:color="auto" w:sz="4" w:space="0"/>
              <w:left w:val="single" w:color="auto" w:sz="4" w:space="0"/>
              <w:bottom w:val="single" w:color="auto" w:sz="4" w:space="0"/>
              <w:right w:val="single" w:color="auto" w:sz="4" w:space="0"/>
            </w:tcBorders>
            <w:vAlign w:val="center"/>
          </w:tcPr>
          <w:p w14:paraId="4A61DFEC">
            <w:pPr>
              <w:widowControl/>
              <w:spacing w:line="400" w:lineRule="exact"/>
              <w:ind w:firstLine="200"/>
              <w:jc w:val="center"/>
              <w:rPr>
                <w:rFonts w:hint="eastAsia" w:ascii="仿宋" w:hAnsi="仿宋" w:eastAsia="仿宋" w:cs="仿宋"/>
                <w:color w:val="000000"/>
                <w:sz w:val="28"/>
                <w:szCs w:val="28"/>
              </w:rPr>
            </w:pPr>
          </w:p>
        </w:tc>
        <w:tc>
          <w:tcPr>
            <w:tcW w:w="772" w:type="dxa"/>
            <w:gridSpan w:val="2"/>
            <w:tcBorders>
              <w:top w:val="single" w:color="auto" w:sz="4" w:space="0"/>
              <w:left w:val="single" w:color="auto" w:sz="4" w:space="0"/>
              <w:bottom w:val="single" w:color="auto" w:sz="4" w:space="0"/>
              <w:right w:val="single" w:color="auto" w:sz="4" w:space="0"/>
            </w:tcBorders>
            <w:vAlign w:val="center"/>
          </w:tcPr>
          <w:p w14:paraId="44BA0F6C">
            <w:pPr>
              <w:widowControl/>
              <w:spacing w:line="40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3</w:t>
            </w:r>
          </w:p>
        </w:tc>
        <w:tc>
          <w:tcPr>
            <w:tcW w:w="1142" w:type="dxa"/>
            <w:tcBorders>
              <w:top w:val="single" w:color="auto" w:sz="4" w:space="0"/>
              <w:left w:val="single" w:color="auto" w:sz="4" w:space="0"/>
              <w:bottom w:val="single" w:color="auto" w:sz="4" w:space="0"/>
              <w:right w:val="single" w:color="auto" w:sz="4" w:space="0"/>
            </w:tcBorders>
            <w:vAlign w:val="center"/>
          </w:tcPr>
          <w:p w14:paraId="71B239C3">
            <w:pPr>
              <w:widowControl/>
              <w:spacing w:line="40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w:t>
            </w:r>
          </w:p>
        </w:tc>
      </w:tr>
      <w:tr w14:paraId="665E084F">
        <w:tblPrEx>
          <w:tblCellMar>
            <w:top w:w="0" w:type="dxa"/>
            <w:left w:w="108" w:type="dxa"/>
            <w:bottom w:w="0" w:type="dxa"/>
            <w:right w:w="108" w:type="dxa"/>
          </w:tblCellMar>
        </w:tblPrEx>
        <w:trPr>
          <w:trHeight w:val="447"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14B84000">
            <w:pPr>
              <w:widowControl/>
              <w:spacing w:line="40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26245C5E">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做好火灾自动报警设备的管理和记录工作。</w:t>
            </w:r>
          </w:p>
        </w:tc>
        <w:tc>
          <w:tcPr>
            <w:tcW w:w="1617" w:type="dxa"/>
            <w:tcBorders>
              <w:top w:val="single" w:color="auto" w:sz="4" w:space="0"/>
              <w:left w:val="single" w:color="auto" w:sz="4" w:space="0"/>
              <w:bottom w:val="single" w:color="auto" w:sz="4" w:space="0"/>
              <w:right w:val="single" w:color="auto" w:sz="4" w:space="0"/>
            </w:tcBorders>
            <w:vAlign w:val="center"/>
          </w:tcPr>
          <w:p w14:paraId="14D1838B">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840" w:type="dxa"/>
            <w:gridSpan w:val="3"/>
            <w:tcBorders>
              <w:top w:val="single" w:color="auto" w:sz="4" w:space="0"/>
              <w:left w:val="single" w:color="auto" w:sz="4" w:space="0"/>
              <w:bottom w:val="single" w:color="auto" w:sz="4" w:space="0"/>
              <w:right w:val="single" w:color="auto" w:sz="4" w:space="0"/>
            </w:tcBorders>
            <w:vAlign w:val="center"/>
          </w:tcPr>
          <w:p w14:paraId="3C08FA29">
            <w:pPr>
              <w:widowControl/>
              <w:spacing w:line="400" w:lineRule="exact"/>
              <w:ind w:firstLine="200"/>
              <w:jc w:val="center"/>
              <w:rPr>
                <w:rFonts w:hint="eastAsia" w:ascii="仿宋" w:hAnsi="仿宋" w:eastAsia="仿宋" w:cs="仿宋"/>
                <w:color w:val="000000"/>
                <w:sz w:val="28"/>
                <w:szCs w:val="28"/>
              </w:rPr>
            </w:pPr>
          </w:p>
        </w:tc>
        <w:tc>
          <w:tcPr>
            <w:tcW w:w="772" w:type="dxa"/>
            <w:gridSpan w:val="2"/>
            <w:tcBorders>
              <w:top w:val="single" w:color="auto" w:sz="4" w:space="0"/>
              <w:left w:val="single" w:color="auto" w:sz="4" w:space="0"/>
              <w:bottom w:val="single" w:color="auto" w:sz="4" w:space="0"/>
              <w:right w:val="single" w:color="auto" w:sz="4" w:space="0"/>
            </w:tcBorders>
            <w:vAlign w:val="center"/>
          </w:tcPr>
          <w:p w14:paraId="0963B079">
            <w:pPr>
              <w:widowControl/>
              <w:spacing w:line="40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3</w:t>
            </w:r>
          </w:p>
        </w:tc>
        <w:tc>
          <w:tcPr>
            <w:tcW w:w="1142" w:type="dxa"/>
            <w:tcBorders>
              <w:top w:val="single" w:color="auto" w:sz="4" w:space="0"/>
              <w:left w:val="single" w:color="auto" w:sz="4" w:space="0"/>
              <w:bottom w:val="single" w:color="auto" w:sz="4" w:space="0"/>
              <w:right w:val="single" w:color="auto" w:sz="4" w:space="0"/>
            </w:tcBorders>
            <w:vAlign w:val="center"/>
          </w:tcPr>
          <w:p w14:paraId="3C034E19">
            <w:pPr>
              <w:widowControl/>
              <w:spacing w:line="40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w:t>
            </w:r>
          </w:p>
        </w:tc>
      </w:tr>
      <w:tr w14:paraId="66E6ED6A">
        <w:tblPrEx>
          <w:tblCellMar>
            <w:top w:w="0" w:type="dxa"/>
            <w:left w:w="108" w:type="dxa"/>
            <w:bottom w:w="0" w:type="dxa"/>
            <w:right w:w="108" w:type="dxa"/>
          </w:tblCellMar>
        </w:tblPrEx>
        <w:trPr>
          <w:trHeight w:val="447"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0D78320A">
            <w:pPr>
              <w:widowControl/>
              <w:spacing w:line="40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7F873E46">
            <w:pPr>
              <w:widowControl/>
              <w:spacing w:line="400" w:lineRule="exact"/>
              <w:ind w:firstLine="200"/>
              <w:rPr>
                <w:rFonts w:hint="eastAsia" w:ascii="仿宋" w:hAnsi="仿宋" w:eastAsia="仿宋" w:cs="仿宋"/>
                <w:color w:val="000000"/>
                <w:sz w:val="28"/>
                <w:szCs w:val="28"/>
              </w:rPr>
            </w:pPr>
            <w:r>
              <w:rPr>
                <w:rFonts w:hint="eastAsia" w:ascii="仿宋" w:hAnsi="仿宋" w:eastAsia="仿宋" w:cs="仿宋"/>
                <w:color w:val="000000"/>
                <w:sz w:val="28"/>
                <w:szCs w:val="28"/>
              </w:rPr>
              <w:t>做好消防、视频监控系统的管理和记录工作。</w:t>
            </w:r>
          </w:p>
        </w:tc>
        <w:tc>
          <w:tcPr>
            <w:tcW w:w="1617" w:type="dxa"/>
            <w:tcBorders>
              <w:top w:val="single" w:color="auto" w:sz="4" w:space="0"/>
              <w:left w:val="single" w:color="auto" w:sz="4" w:space="0"/>
              <w:bottom w:val="single" w:color="auto" w:sz="4" w:space="0"/>
              <w:right w:val="single" w:color="auto" w:sz="4" w:space="0"/>
            </w:tcBorders>
            <w:vAlign w:val="center"/>
          </w:tcPr>
          <w:p w14:paraId="0DB69ABF">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840" w:type="dxa"/>
            <w:gridSpan w:val="3"/>
            <w:tcBorders>
              <w:top w:val="single" w:color="auto" w:sz="4" w:space="0"/>
              <w:left w:val="single" w:color="auto" w:sz="4" w:space="0"/>
              <w:bottom w:val="single" w:color="auto" w:sz="4" w:space="0"/>
              <w:right w:val="single" w:color="auto" w:sz="4" w:space="0"/>
            </w:tcBorders>
            <w:vAlign w:val="center"/>
          </w:tcPr>
          <w:p w14:paraId="1803CC83">
            <w:pPr>
              <w:widowControl/>
              <w:spacing w:line="400" w:lineRule="exact"/>
              <w:ind w:firstLine="200"/>
              <w:jc w:val="center"/>
              <w:rPr>
                <w:rFonts w:hint="eastAsia" w:ascii="仿宋" w:hAnsi="仿宋" w:eastAsia="仿宋" w:cs="仿宋"/>
                <w:color w:val="000000"/>
                <w:sz w:val="28"/>
                <w:szCs w:val="28"/>
              </w:rPr>
            </w:pPr>
          </w:p>
        </w:tc>
        <w:tc>
          <w:tcPr>
            <w:tcW w:w="772" w:type="dxa"/>
            <w:gridSpan w:val="2"/>
            <w:tcBorders>
              <w:top w:val="single" w:color="auto" w:sz="4" w:space="0"/>
              <w:left w:val="single" w:color="auto" w:sz="4" w:space="0"/>
              <w:bottom w:val="single" w:color="auto" w:sz="4" w:space="0"/>
              <w:right w:val="single" w:color="auto" w:sz="4" w:space="0"/>
            </w:tcBorders>
            <w:vAlign w:val="center"/>
          </w:tcPr>
          <w:p w14:paraId="124F2477">
            <w:pPr>
              <w:widowControl/>
              <w:spacing w:line="40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3</w:t>
            </w:r>
          </w:p>
        </w:tc>
        <w:tc>
          <w:tcPr>
            <w:tcW w:w="1142" w:type="dxa"/>
            <w:tcBorders>
              <w:top w:val="single" w:color="auto" w:sz="4" w:space="0"/>
              <w:left w:val="single" w:color="auto" w:sz="4" w:space="0"/>
              <w:bottom w:val="single" w:color="auto" w:sz="4" w:space="0"/>
              <w:right w:val="single" w:color="auto" w:sz="4" w:space="0"/>
            </w:tcBorders>
            <w:vAlign w:val="center"/>
          </w:tcPr>
          <w:p w14:paraId="0AA7FD38">
            <w:pPr>
              <w:widowControl/>
              <w:spacing w:line="400" w:lineRule="exact"/>
              <w:ind w:firstLine="200"/>
              <w:jc w:val="center"/>
              <w:rPr>
                <w:rFonts w:hint="eastAsia" w:ascii="仿宋" w:hAnsi="仿宋" w:eastAsia="仿宋" w:cs="仿宋"/>
                <w:color w:val="000000"/>
                <w:sz w:val="28"/>
                <w:szCs w:val="28"/>
              </w:rPr>
            </w:pPr>
          </w:p>
        </w:tc>
      </w:tr>
      <w:tr w14:paraId="4D2A1F0D">
        <w:tblPrEx>
          <w:tblCellMar>
            <w:top w:w="0" w:type="dxa"/>
            <w:left w:w="108" w:type="dxa"/>
            <w:bottom w:w="0" w:type="dxa"/>
            <w:right w:w="108" w:type="dxa"/>
          </w:tblCellMar>
        </w:tblPrEx>
        <w:trPr>
          <w:trHeight w:val="447"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7A567ACD">
            <w:pPr>
              <w:widowControl/>
              <w:spacing w:line="40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7F635BEF">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夜间做好110自动报警系统的设防和记录工作。</w:t>
            </w:r>
          </w:p>
        </w:tc>
        <w:tc>
          <w:tcPr>
            <w:tcW w:w="1617" w:type="dxa"/>
            <w:tcBorders>
              <w:top w:val="single" w:color="auto" w:sz="4" w:space="0"/>
              <w:left w:val="single" w:color="auto" w:sz="4" w:space="0"/>
              <w:bottom w:val="single" w:color="auto" w:sz="4" w:space="0"/>
              <w:right w:val="single" w:color="auto" w:sz="4" w:space="0"/>
            </w:tcBorders>
            <w:vAlign w:val="center"/>
          </w:tcPr>
          <w:p w14:paraId="6EFCFC1E">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840" w:type="dxa"/>
            <w:gridSpan w:val="3"/>
            <w:tcBorders>
              <w:top w:val="single" w:color="auto" w:sz="4" w:space="0"/>
              <w:left w:val="single" w:color="auto" w:sz="4" w:space="0"/>
              <w:bottom w:val="single" w:color="auto" w:sz="4" w:space="0"/>
              <w:right w:val="single" w:color="auto" w:sz="4" w:space="0"/>
            </w:tcBorders>
            <w:vAlign w:val="center"/>
          </w:tcPr>
          <w:p w14:paraId="54ED7A17">
            <w:pPr>
              <w:widowControl/>
              <w:spacing w:line="400" w:lineRule="exact"/>
              <w:ind w:firstLine="200"/>
              <w:jc w:val="center"/>
              <w:rPr>
                <w:rFonts w:hint="eastAsia" w:ascii="仿宋" w:hAnsi="仿宋" w:eastAsia="仿宋" w:cs="仿宋"/>
                <w:color w:val="000000"/>
                <w:sz w:val="28"/>
                <w:szCs w:val="28"/>
              </w:rPr>
            </w:pPr>
          </w:p>
        </w:tc>
        <w:tc>
          <w:tcPr>
            <w:tcW w:w="772" w:type="dxa"/>
            <w:gridSpan w:val="2"/>
            <w:tcBorders>
              <w:top w:val="single" w:color="auto" w:sz="4" w:space="0"/>
              <w:left w:val="single" w:color="auto" w:sz="4" w:space="0"/>
              <w:bottom w:val="single" w:color="auto" w:sz="4" w:space="0"/>
              <w:right w:val="single" w:color="auto" w:sz="4" w:space="0"/>
            </w:tcBorders>
            <w:vAlign w:val="center"/>
          </w:tcPr>
          <w:p w14:paraId="6D4C7244">
            <w:pPr>
              <w:widowControl/>
              <w:spacing w:line="40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3</w:t>
            </w:r>
          </w:p>
        </w:tc>
        <w:tc>
          <w:tcPr>
            <w:tcW w:w="1142" w:type="dxa"/>
            <w:tcBorders>
              <w:top w:val="single" w:color="auto" w:sz="4" w:space="0"/>
              <w:left w:val="single" w:color="auto" w:sz="4" w:space="0"/>
              <w:bottom w:val="single" w:color="auto" w:sz="4" w:space="0"/>
              <w:right w:val="single" w:color="auto" w:sz="4" w:space="0"/>
            </w:tcBorders>
            <w:vAlign w:val="center"/>
          </w:tcPr>
          <w:p w14:paraId="6DB1733C">
            <w:pPr>
              <w:widowControl/>
              <w:spacing w:line="400" w:lineRule="exact"/>
              <w:ind w:firstLine="200"/>
              <w:jc w:val="center"/>
              <w:rPr>
                <w:rFonts w:hint="eastAsia" w:ascii="仿宋" w:hAnsi="仿宋" w:eastAsia="仿宋" w:cs="仿宋"/>
                <w:color w:val="000000"/>
                <w:sz w:val="28"/>
                <w:szCs w:val="28"/>
              </w:rPr>
            </w:pPr>
          </w:p>
        </w:tc>
      </w:tr>
      <w:tr w14:paraId="471F5239">
        <w:tblPrEx>
          <w:tblCellMar>
            <w:top w:w="0" w:type="dxa"/>
            <w:left w:w="108" w:type="dxa"/>
            <w:bottom w:w="0" w:type="dxa"/>
            <w:right w:w="108" w:type="dxa"/>
          </w:tblCellMar>
        </w:tblPrEx>
        <w:trPr>
          <w:trHeight w:val="90"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2D8E191A">
            <w:pPr>
              <w:widowControl/>
              <w:spacing w:line="40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6D8B3D79">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做好每日防火巡查和记录工作，发现紧急情况按消防应急预案规定及时处理。</w:t>
            </w:r>
          </w:p>
        </w:tc>
        <w:tc>
          <w:tcPr>
            <w:tcW w:w="1617" w:type="dxa"/>
            <w:tcBorders>
              <w:top w:val="single" w:color="auto" w:sz="4" w:space="0"/>
              <w:left w:val="single" w:color="auto" w:sz="4" w:space="0"/>
              <w:bottom w:val="single" w:color="auto" w:sz="4" w:space="0"/>
              <w:right w:val="single" w:color="auto" w:sz="4" w:space="0"/>
            </w:tcBorders>
            <w:vAlign w:val="center"/>
          </w:tcPr>
          <w:p w14:paraId="452BCFA4">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840" w:type="dxa"/>
            <w:gridSpan w:val="3"/>
            <w:tcBorders>
              <w:top w:val="single" w:color="auto" w:sz="4" w:space="0"/>
              <w:left w:val="single" w:color="auto" w:sz="4" w:space="0"/>
              <w:bottom w:val="single" w:color="auto" w:sz="4" w:space="0"/>
              <w:right w:val="single" w:color="auto" w:sz="4" w:space="0"/>
            </w:tcBorders>
            <w:vAlign w:val="center"/>
          </w:tcPr>
          <w:p w14:paraId="5BB76353">
            <w:pPr>
              <w:widowControl/>
              <w:spacing w:line="400" w:lineRule="exact"/>
              <w:ind w:firstLine="200"/>
              <w:jc w:val="center"/>
              <w:rPr>
                <w:rFonts w:hint="eastAsia" w:ascii="仿宋" w:hAnsi="仿宋" w:eastAsia="仿宋" w:cs="仿宋"/>
                <w:color w:val="000000"/>
                <w:sz w:val="28"/>
                <w:szCs w:val="28"/>
              </w:rPr>
            </w:pPr>
          </w:p>
        </w:tc>
        <w:tc>
          <w:tcPr>
            <w:tcW w:w="772" w:type="dxa"/>
            <w:gridSpan w:val="2"/>
            <w:tcBorders>
              <w:top w:val="single" w:color="auto" w:sz="4" w:space="0"/>
              <w:left w:val="single" w:color="auto" w:sz="4" w:space="0"/>
              <w:bottom w:val="single" w:color="auto" w:sz="4" w:space="0"/>
              <w:right w:val="single" w:color="auto" w:sz="4" w:space="0"/>
            </w:tcBorders>
            <w:vAlign w:val="center"/>
          </w:tcPr>
          <w:p w14:paraId="1909F5A2">
            <w:pPr>
              <w:widowControl/>
              <w:spacing w:line="40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3</w:t>
            </w:r>
          </w:p>
        </w:tc>
        <w:tc>
          <w:tcPr>
            <w:tcW w:w="1142" w:type="dxa"/>
            <w:tcBorders>
              <w:top w:val="single" w:color="auto" w:sz="4" w:space="0"/>
              <w:left w:val="single" w:color="auto" w:sz="4" w:space="0"/>
              <w:bottom w:val="single" w:color="auto" w:sz="4" w:space="0"/>
              <w:right w:val="single" w:color="auto" w:sz="4" w:space="0"/>
            </w:tcBorders>
            <w:vAlign w:val="center"/>
          </w:tcPr>
          <w:p w14:paraId="29D824D1">
            <w:pPr>
              <w:widowControl/>
              <w:spacing w:line="400" w:lineRule="exact"/>
              <w:ind w:firstLine="200"/>
              <w:jc w:val="center"/>
              <w:rPr>
                <w:rFonts w:hint="eastAsia" w:ascii="仿宋" w:hAnsi="仿宋" w:eastAsia="仿宋" w:cs="仿宋"/>
                <w:color w:val="000000"/>
                <w:sz w:val="28"/>
                <w:szCs w:val="28"/>
              </w:rPr>
            </w:pPr>
          </w:p>
        </w:tc>
      </w:tr>
      <w:tr w14:paraId="308A4969">
        <w:tblPrEx>
          <w:tblCellMar>
            <w:top w:w="0" w:type="dxa"/>
            <w:left w:w="108" w:type="dxa"/>
            <w:bottom w:w="0" w:type="dxa"/>
            <w:right w:w="108" w:type="dxa"/>
          </w:tblCellMar>
        </w:tblPrEx>
        <w:trPr>
          <w:trHeight w:val="90"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0305848F">
            <w:pPr>
              <w:widowControl/>
              <w:spacing w:line="40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71DAEDC0">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对散发非法医疗广告、医托及小偷进行驱赶、抓获，及时汇报并妥善处理。</w:t>
            </w:r>
          </w:p>
        </w:tc>
        <w:tc>
          <w:tcPr>
            <w:tcW w:w="1617" w:type="dxa"/>
            <w:tcBorders>
              <w:top w:val="single" w:color="auto" w:sz="4" w:space="0"/>
              <w:left w:val="single" w:color="auto" w:sz="4" w:space="0"/>
              <w:bottom w:val="single" w:color="auto" w:sz="4" w:space="0"/>
              <w:right w:val="single" w:color="auto" w:sz="4" w:space="0"/>
            </w:tcBorders>
            <w:vAlign w:val="center"/>
          </w:tcPr>
          <w:p w14:paraId="626DC4DB">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840" w:type="dxa"/>
            <w:gridSpan w:val="3"/>
            <w:tcBorders>
              <w:top w:val="single" w:color="auto" w:sz="4" w:space="0"/>
              <w:left w:val="single" w:color="auto" w:sz="4" w:space="0"/>
              <w:bottom w:val="single" w:color="auto" w:sz="4" w:space="0"/>
              <w:right w:val="single" w:color="auto" w:sz="4" w:space="0"/>
            </w:tcBorders>
            <w:vAlign w:val="center"/>
          </w:tcPr>
          <w:p w14:paraId="00C08DBA">
            <w:pPr>
              <w:widowControl/>
              <w:spacing w:line="400" w:lineRule="exact"/>
              <w:ind w:firstLine="200"/>
              <w:jc w:val="center"/>
              <w:rPr>
                <w:rFonts w:hint="eastAsia" w:ascii="仿宋" w:hAnsi="仿宋" w:eastAsia="仿宋" w:cs="仿宋"/>
                <w:color w:val="000000"/>
                <w:sz w:val="28"/>
                <w:szCs w:val="28"/>
              </w:rPr>
            </w:pPr>
          </w:p>
        </w:tc>
        <w:tc>
          <w:tcPr>
            <w:tcW w:w="772" w:type="dxa"/>
            <w:gridSpan w:val="2"/>
            <w:tcBorders>
              <w:top w:val="single" w:color="auto" w:sz="4" w:space="0"/>
              <w:left w:val="single" w:color="auto" w:sz="4" w:space="0"/>
              <w:bottom w:val="single" w:color="auto" w:sz="4" w:space="0"/>
              <w:right w:val="single" w:color="auto" w:sz="4" w:space="0"/>
            </w:tcBorders>
            <w:vAlign w:val="center"/>
          </w:tcPr>
          <w:p w14:paraId="1C4B795C">
            <w:pPr>
              <w:widowControl/>
              <w:spacing w:line="40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3</w:t>
            </w:r>
          </w:p>
        </w:tc>
        <w:tc>
          <w:tcPr>
            <w:tcW w:w="1142" w:type="dxa"/>
            <w:tcBorders>
              <w:top w:val="single" w:color="auto" w:sz="4" w:space="0"/>
              <w:left w:val="single" w:color="auto" w:sz="4" w:space="0"/>
              <w:bottom w:val="single" w:color="auto" w:sz="4" w:space="0"/>
              <w:right w:val="single" w:color="auto" w:sz="4" w:space="0"/>
            </w:tcBorders>
            <w:vAlign w:val="center"/>
          </w:tcPr>
          <w:p w14:paraId="46037F1C">
            <w:pPr>
              <w:widowControl/>
              <w:spacing w:line="400" w:lineRule="exact"/>
              <w:ind w:firstLine="200"/>
              <w:jc w:val="center"/>
              <w:rPr>
                <w:rFonts w:hint="eastAsia" w:ascii="仿宋" w:hAnsi="仿宋" w:eastAsia="仿宋" w:cs="仿宋"/>
                <w:color w:val="000000"/>
                <w:sz w:val="28"/>
                <w:szCs w:val="28"/>
              </w:rPr>
            </w:pPr>
          </w:p>
        </w:tc>
      </w:tr>
      <w:tr w14:paraId="20F4C25C">
        <w:tblPrEx>
          <w:tblCellMar>
            <w:top w:w="0" w:type="dxa"/>
            <w:left w:w="108" w:type="dxa"/>
            <w:bottom w:w="0" w:type="dxa"/>
            <w:right w:w="108" w:type="dxa"/>
          </w:tblCellMar>
        </w:tblPrEx>
        <w:trPr>
          <w:trHeight w:val="90"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494C94EE">
            <w:pPr>
              <w:widowControl/>
              <w:spacing w:line="40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29C5FC78">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进行每日消防安全检查，做好巡查记录。</w:t>
            </w:r>
          </w:p>
        </w:tc>
        <w:tc>
          <w:tcPr>
            <w:tcW w:w="1617" w:type="dxa"/>
            <w:tcBorders>
              <w:top w:val="single" w:color="auto" w:sz="4" w:space="0"/>
              <w:left w:val="single" w:color="auto" w:sz="4" w:space="0"/>
              <w:bottom w:val="single" w:color="auto" w:sz="4" w:space="0"/>
              <w:right w:val="single" w:color="auto" w:sz="4" w:space="0"/>
            </w:tcBorders>
            <w:vAlign w:val="center"/>
          </w:tcPr>
          <w:p w14:paraId="2ECD1F8A">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840" w:type="dxa"/>
            <w:gridSpan w:val="3"/>
            <w:tcBorders>
              <w:top w:val="single" w:color="auto" w:sz="4" w:space="0"/>
              <w:left w:val="single" w:color="auto" w:sz="4" w:space="0"/>
              <w:bottom w:val="single" w:color="auto" w:sz="4" w:space="0"/>
              <w:right w:val="single" w:color="auto" w:sz="4" w:space="0"/>
            </w:tcBorders>
            <w:vAlign w:val="center"/>
          </w:tcPr>
          <w:p w14:paraId="22738026">
            <w:pPr>
              <w:widowControl/>
              <w:spacing w:line="400" w:lineRule="exact"/>
              <w:ind w:firstLine="200"/>
              <w:jc w:val="center"/>
              <w:rPr>
                <w:rFonts w:hint="eastAsia" w:ascii="仿宋" w:hAnsi="仿宋" w:eastAsia="仿宋" w:cs="仿宋"/>
                <w:color w:val="000000"/>
                <w:sz w:val="28"/>
                <w:szCs w:val="28"/>
              </w:rPr>
            </w:pPr>
          </w:p>
        </w:tc>
        <w:tc>
          <w:tcPr>
            <w:tcW w:w="772" w:type="dxa"/>
            <w:gridSpan w:val="2"/>
            <w:tcBorders>
              <w:top w:val="single" w:color="auto" w:sz="4" w:space="0"/>
              <w:left w:val="single" w:color="auto" w:sz="4" w:space="0"/>
              <w:bottom w:val="single" w:color="auto" w:sz="4" w:space="0"/>
              <w:right w:val="single" w:color="auto" w:sz="4" w:space="0"/>
            </w:tcBorders>
            <w:vAlign w:val="center"/>
          </w:tcPr>
          <w:p w14:paraId="29EFB772">
            <w:pPr>
              <w:widowControl/>
              <w:spacing w:line="40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3</w:t>
            </w:r>
          </w:p>
        </w:tc>
        <w:tc>
          <w:tcPr>
            <w:tcW w:w="1142" w:type="dxa"/>
            <w:tcBorders>
              <w:top w:val="single" w:color="auto" w:sz="4" w:space="0"/>
              <w:left w:val="single" w:color="auto" w:sz="4" w:space="0"/>
              <w:bottom w:val="single" w:color="auto" w:sz="4" w:space="0"/>
              <w:right w:val="single" w:color="auto" w:sz="4" w:space="0"/>
            </w:tcBorders>
            <w:vAlign w:val="center"/>
          </w:tcPr>
          <w:p w14:paraId="65EE8180">
            <w:pPr>
              <w:widowControl/>
              <w:spacing w:line="400" w:lineRule="exact"/>
              <w:ind w:firstLine="200"/>
              <w:jc w:val="center"/>
              <w:rPr>
                <w:rFonts w:hint="eastAsia" w:ascii="仿宋" w:hAnsi="仿宋" w:eastAsia="仿宋" w:cs="仿宋"/>
                <w:color w:val="000000"/>
                <w:sz w:val="28"/>
                <w:szCs w:val="28"/>
              </w:rPr>
            </w:pPr>
          </w:p>
        </w:tc>
      </w:tr>
      <w:tr w14:paraId="1C63066D">
        <w:tblPrEx>
          <w:tblCellMar>
            <w:top w:w="0" w:type="dxa"/>
            <w:left w:w="108" w:type="dxa"/>
            <w:bottom w:w="0" w:type="dxa"/>
            <w:right w:w="108" w:type="dxa"/>
          </w:tblCellMar>
        </w:tblPrEx>
        <w:trPr>
          <w:trHeight w:val="90"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13DB598A">
            <w:pPr>
              <w:widowControl/>
              <w:spacing w:line="40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6647CD04">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协助病区护士长做好病区的医疗秩序维护工作。</w:t>
            </w:r>
          </w:p>
        </w:tc>
        <w:tc>
          <w:tcPr>
            <w:tcW w:w="1617" w:type="dxa"/>
            <w:tcBorders>
              <w:top w:val="single" w:color="auto" w:sz="4" w:space="0"/>
              <w:left w:val="single" w:color="auto" w:sz="4" w:space="0"/>
              <w:bottom w:val="single" w:color="auto" w:sz="4" w:space="0"/>
              <w:right w:val="single" w:color="auto" w:sz="4" w:space="0"/>
            </w:tcBorders>
            <w:vAlign w:val="center"/>
          </w:tcPr>
          <w:p w14:paraId="392537A2">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840" w:type="dxa"/>
            <w:gridSpan w:val="3"/>
            <w:tcBorders>
              <w:top w:val="single" w:color="auto" w:sz="4" w:space="0"/>
              <w:left w:val="single" w:color="auto" w:sz="4" w:space="0"/>
              <w:bottom w:val="single" w:color="auto" w:sz="4" w:space="0"/>
              <w:right w:val="single" w:color="auto" w:sz="4" w:space="0"/>
            </w:tcBorders>
            <w:vAlign w:val="center"/>
          </w:tcPr>
          <w:p w14:paraId="6F42C5C0">
            <w:pPr>
              <w:widowControl/>
              <w:spacing w:line="400" w:lineRule="exact"/>
              <w:ind w:firstLine="200"/>
              <w:jc w:val="center"/>
              <w:rPr>
                <w:rFonts w:hint="eastAsia" w:ascii="仿宋" w:hAnsi="仿宋" w:eastAsia="仿宋" w:cs="仿宋"/>
                <w:color w:val="000000"/>
                <w:sz w:val="28"/>
                <w:szCs w:val="28"/>
              </w:rPr>
            </w:pPr>
          </w:p>
        </w:tc>
        <w:tc>
          <w:tcPr>
            <w:tcW w:w="772" w:type="dxa"/>
            <w:gridSpan w:val="2"/>
            <w:tcBorders>
              <w:top w:val="single" w:color="auto" w:sz="4" w:space="0"/>
              <w:left w:val="single" w:color="auto" w:sz="4" w:space="0"/>
              <w:bottom w:val="single" w:color="auto" w:sz="4" w:space="0"/>
              <w:right w:val="single" w:color="auto" w:sz="4" w:space="0"/>
            </w:tcBorders>
            <w:vAlign w:val="center"/>
          </w:tcPr>
          <w:p w14:paraId="16260B8A">
            <w:pPr>
              <w:widowControl/>
              <w:spacing w:line="40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3</w:t>
            </w:r>
          </w:p>
        </w:tc>
        <w:tc>
          <w:tcPr>
            <w:tcW w:w="1142" w:type="dxa"/>
            <w:tcBorders>
              <w:top w:val="single" w:color="auto" w:sz="4" w:space="0"/>
              <w:left w:val="single" w:color="auto" w:sz="4" w:space="0"/>
              <w:bottom w:val="single" w:color="auto" w:sz="4" w:space="0"/>
              <w:right w:val="single" w:color="auto" w:sz="4" w:space="0"/>
            </w:tcBorders>
            <w:vAlign w:val="center"/>
          </w:tcPr>
          <w:p w14:paraId="3A43D347">
            <w:pPr>
              <w:widowControl/>
              <w:spacing w:line="400" w:lineRule="exact"/>
              <w:ind w:firstLine="200"/>
              <w:jc w:val="center"/>
              <w:rPr>
                <w:rFonts w:hint="eastAsia" w:ascii="仿宋" w:hAnsi="仿宋" w:eastAsia="仿宋" w:cs="仿宋"/>
                <w:color w:val="000000"/>
                <w:sz w:val="28"/>
                <w:szCs w:val="28"/>
              </w:rPr>
            </w:pPr>
          </w:p>
        </w:tc>
      </w:tr>
      <w:tr w14:paraId="5DB07042">
        <w:tblPrEx>
          <w:tblCellMar>
            <w:top w:w="0" w:type="dxa"/>
            <w:left w:w="108" w:type="dxa"/>
            <w:bottom w:w="0" w:type="dxa"/>
            <w:right w:w="108" w:type="dxa"/>
          </w:tblCellMar>
        </w:tblPrEx>
        <w:trPr>
          <w:trHeight w:val="90"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7031AB48">
            <w:pPr>
              <w:widowControl/>
              <w:spacing w:line="40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56CFE266">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对院区范围内实行24小时不间断巡逻，加强对门急诊医技楼、病房楼的巡视。</w:t>
            </w:r>
          </w:p>
        </w:tc>
        <w:tc>
          <w:tcPr>
            <w:tcW w:w="1617" w:type="dxa"/>
            <w:tcBorders>
              <w:top w:val="single" w:color="auto" w:sz="4" w:space="0"/>
              <w:left w:val="single" w:color="auto" w:sz="4" w:space="0"/>
              <w:bottom w:val="single" w:color="auto" w:sz="4" w:space="0"/>
              <w:right w:val="single" w:color="auto" w:sz="4" w:space="0"/>
            </w:tcBorders>
            <w:vAlign w:val="center"/>
          </w:tcPr>
          <w:p w14:paraId="36ADB7CA">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840" w:type="dxa"/>
            <w:gridSpan w:val="3"/>
            <w:tcBorders>
              <w:top w:val="single" w:color="auto" w:sz="4" w:space="0"/>
              <w:left w:val="single" w:color="auto" w:sz="4" w:space="0"/>
              <w:bottom w:val="single" w:color="auto" w:sz="4" w:space="0"/>
              <w:right w:val="single" w:color="auto" w:sz="4" w:space="0"/>
            </w:tcBorders>
            <w:vAlign w:val="center"/>
          </w:tcPr>
          <w:p w14:paraId="5980A702">
            <w:pPr>
              <w:widowControl/>
              <w:spacing w:line="400" w:lineRule="exact"/>
              <w:ind w:firstLine="200"/>
              <w:jc w:val="center"/>
              <w:rPr>
                <w:rFonts w:hint="eastAsia" w:ascii="仿宋" w:hAnsi="仿宋" w:eastAsia="仿宋" w:cs="仿宋"/>
                <w:color w:val="000000"/>
                <w:sz w:val="28"/>
                <w:szCs w:val="28"/>
              </w:rPr>
            </w:pPr>
          </w:p>
        </w:tc>
        <w:tc>
          <w:tcPr>
            <w:tcW w:w="772" w:type="dxa"/>
            <w:gridSpan w:val="2"/>
            <w:tcBorders>
              <w:top w:val="single" w:color="auto" w:sz="4" w:space="0"/>
              <w:left w:val="single" w:color="auto" w:sz="4" w:space="0"/>
              <w:bottom w:val="single" w:color="auto" w:sz="4" w:space="0"/>
              <w:right w:val="single" w:color="auto" w:sz="4" w:space="0"/>
            </w:tcBorders>
            <w:vAlign w:val="center"/>
          </w:tcPr>
          <w:p w14:paraId="57609B22">
            <w:pPr>
              <w:widowControl/>
              <w:spacing w:line="40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3</w:t>
            </w:r>
          </w:p>
        </w:tc>
        <w:tc>
          <w:tcPr>
            <w:tcW w:w="1142" w:type="dxa"/>
            <w:tcBorders>
              <w:top w:val="single" w:color="auto" w:sz="4" w:space="0"/>
              <w:left w:val="single" w:color="auto" w:sz="4" w:space="0"/>
              <w:bottom w:val="single" w:color="auto" w:sz="4" w:space="0"/>
              <w:right w:val="single" w:color="auto" w:sz="4" w:space="0"/>
            </w:tcBorders>
            <w:vAlign w:val="center"/>
          </w:tcPr>
          <w:p w14:paraId="1165B72C">
            <w:pPr>
              <w:widowControl/>
              <w:spacing w:line="400" w:lineRule="exact"/>
              <w:ind w:firstLine="200"/>
              <w:jc w:val="center"/>
              <w:rPr>
                <w:rFonts w:hint="eastAsia" w:ascii="仿宋" w:hAnsi="仿宋" w:eastAsia="仿宋" w:cs="仿宋"/>
                <w:color w:val="000000"/>
                <w:sz w:val="28"/>
                <w:szCs w:val="28"/>
              </w:rPr>
            </w:pPr>
          </w:p>
        </w:tc>
      </w:tr>
      <w:tr w14:paraId="30611CB3">
        <w:tblPrEx>
          <w:tblCellMar>
            <w:top w:w="0" w:type="dxa"/>
            <w:left w:w="108" w:type="dxa"/>
            <w:bottom w:w="0" w:type="dxa"/>
            <w:right w:w="108" w:type="dxa"/>
          </w:tblCellMar>
        </w:tblPrEx>
        <w:trPr>
          <w:trHeight w:val="90"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782C0A09">
            <w:pPr>
              <w:widowControl/>
              <w:spacing w:line="40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15765BE6">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甲方下班后，保安员应及时检查各诊室、办公室、仓库门锁。发现异常情况应立即报告甲方总值班。 做好保安轮休时，岗位接替工作。</w:t>
            </w:r>
          </w:p>
        </w:tc>
        <w:tc>
          <w:tcPr>
            <w:tcW w:w="1617" w:type="dxa"/>
            <w:tcBorders>
              <w:top w:val="single" w:color="auto" w:sz="4" w:space="0"/>
              <w:left w:val="single" w:color="auto" w:sz="4" w:space="0"/>
              <w:bottom w:val="single" w:color="auto" w:sz="4" w:space="0"/>
              <w:right w:val="single" w:color="auto" w:sz="4" w:space="0"/>
            </w:tcBorders>
            <w:vAlign w:val="center"/>
          </w:tcPr>
          <w:p w14:paraId="415BF2ED">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840" w:type="dxa"/>
            <w:gridSpan w:val="3"/>
            <w:tcBorders>
              <w:top w:val="single" w:color="auto" w:sz="4" w:space="0"/>
              <w:left w:val="single" w:color="auto" w:sz="4" w:space="0"/>
              <w:bottom w:val="single" w:color="auto" w:sz="4" w:space="0"/>
              <w:right w:val="single" w:color="auto" w:sz="4" w:space="0"/>
            </w:tcBorders>
            <w:vAlign w:val="center"/>
          </w:tcPr>
          <w:p w14:paraId="493715B2">
            <w:pPr>
              <w:widowControl/>
              <w:spacing w:line="400" w:lineRule="exact"/>
              <w:ind w:firstLine="200"/>
              <w:jc w:val="center"/>
              <w:rPr>
                <w:rFonts w:hint="eastAsia" w:ascii="仿宋" w:hAnsi="仿宋" w:eastAsia="仿宋" w:cs="仿宋"/>
                <w:color w:val="000000"/>
                <w:sz w:val="28"/>
                <w:szCs w:val="28"/>
              </w:rPr>
            </w:pPr>
          </w:p>
        </w:tc>
        <w:tc>
          <w:tcPr>
            <w:tcW w:w="772" w:type="dxa"/>
            <w:gridSpan w:val="2"/>
            <w:tcBorders>
              <w:top w:val="single" w:color="auto" w:sz="4" w:space="0"/>
              <w:left w:val="single" w:color="auto" w:sz="4" w:space="0"/>
              <w:bottom w:val="single" w:color="auto" w:sz="4" w:space="0"/>
              <w:right w:val="single" w:color="auto" w:sz="4" w:space="0"/>
            </w:tcBorders>
            <w:vAlign w:val="center"/>
          </w:tcPr>
          <w:p w14:paraId="4000A7DE">
            <w:pPr>
              <w:widowControl/>
              <w:spacing w:line="40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3</w:t>
            </w:r>
          </w:p>
        </w:tc>
        <w:tc>
          <w:tcPr>
            <w:tcW w:w="1142" w:type="dxa"/>
            <w:tcBorders>
              <w:top w:val="single" w:color="auto" w:sz="4" w:space="0"/>
              <w:left w:val="single" w:color="auto" w:sz="4" w:space="0"/>
              <w:bottom w:val="single" w:color="auto" w:sz="4" w:space="0"/>
              <w:right w:val="single" w:color="auto" w:sz="4" w:space="0"/>
            </w:tcBorders>
            <w:vAlign w:val="center"/>
          </w:tcPr>
          <w:p w14:paraId="11727B40">
            <w:pPr>
              <w:widowControl/>
              <w:spacing w:line="400" w:lineRule="exact"/>
              <w:ind w:firstLine="200"/>
              <w:jc w:val="center"/>
              <w:rPr>
                <w:rFonts w:hint="eastAsia" w:ascii="仿宋" w:hAnsi="仿宋" w:eastAsia="仿宋" w:cs="仿宋"/>
                <w:color w:val="000000"/>
                <w:sz w:val="28"/>
                <w:szCs w:val="28"/>
              </w:rPr>
            </w:pPr>
          </w:p>
        </w:tc>
      </w:tr>
      <w:tr w14:paraId="6B999C47">
        <w:tblPrEx>
          <w:tblCellMar>
            <w:top w:w="0" w:type="dxa"/>
            <w:left w:w="108" w:type="dxa"/>
            <w:bottom w:w="0" w:type="dxa"/>
            <w:right w:w="108" w:type="dxa"/>
          </w:tblCellMar>
        </w:tblPrEx>
        <w:trPr>
          <w:trHeight w:val="975" w:hRule="atLeast"/>
        </w:trPr>
        <w:tc>
          <w:tcPr>
            <w:tcW w:w="872" w:type="dxa"/>
            <w:vMerge w:val="restart"/>
            <w:tcBorders>
              <w:top w:val="single" w:color="auto" w:sz="4" w:space="0"/>
              <w:left w:val="single" w:color="auto" w:sz="4" w:space="0"/>
              <w:bottom w:val="single" w:color="auto" w:sz="4" w:space="0"/>
              <w:right w:val="single" w:color="auto" w:sz="4" w:space="0"/>
            </w:tcBorders>
            <w:vAlign w:val="center"/>
          </w:tcPr>
          <w:p w14:paraId="651C2B2B">
            <w:pPr>
              <w:widowControl/>
              <w:spacing w:line="26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门卫值班（20分）</w:t>
            </w:r>
          </w:p>
        </w:tc>
        <w:tc>
          <w:tcPr>
            <w:tcW w:w="4515" w:type="dxa"/>
            <w:tcBorders>
              <w:top w:val="single" w:color="auto" w:sz="4" w:space="0"/>
              <w:left w:val="single" w:color="auto" w:sz="4" w:space="0"/>
              <w:bottom w:val="single" w:color="auto" w:sz="4" w:space="0"/>
              <w:right w:val="single" w:color="auto" w:sz="4" w:space="0"/>
            </w:tcBorders>
            <w:vAlign w:val="center"/>
          </w:tcPr>
          <w:p w14:paraId="7F14A674">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医院大门的管理，控制好车辆进出入。制止和清理门前无关车辆的停放，对进出大门的车辆进行指挥，保障道路畅通。</w:t>
            </w:r>
          </w:p>
        </w:tc>
        <w:tc>
          <w:tcPr>
            <w:tcW w:w="1665" w:type="dxa"/>
            <w:gridSpan w:val="2"/>
            <w:tcBorders>
              <w:top w:val="single" w:color="auto" w:sz="4" w:space="0"/>
              <w:left w:val="single" w:color="auto" w:sz="4" w:space="0"/>
              <w:bottom w:val="single" w:color="auto" w:sz="4" w:space="0"/>
              <w:right w:val="single" w:color="auto" w:sz="4" w:space="0"/>
            </w:tcBorders>
            <w:vAlign w:val="center"/>
          </w:tcPr>
          <w:p w14:paraId="70FD1CCD">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720" w:type="dxa"/>
            <w:tcBorders>
              <w:top w:val="single" w:color="auto" w:sz="4" w:space="0"/>
              <w:left w:val="single" w:color="auto" w:sz="4" w:space="0"/>
              <w:bottom w:val="single" w:color="auto" w:sz="4" w:space="0"/>
              <w:right w:val="single" w:color="auto" w:sz="4" w:space="0"/>
            </w:tcBorders>
            <w:vAlign w:val="center"/>
          </w:tcPr>
          <w:p w14:paraId="5101B937">
            <w:pPr>
              <w:widowControl/>
              <w:spacing w:line="400" w:lineRule="exact"/>
              <w:ind w:firstLine="200"/>
              <w:jc w:val="center"/>
              <w:rPr>
                <w:rFonts w:hint="eastAsia" w:ascii="仿宋" w:hAnsi="仿宋" w:eastAsia="仿宋" w:cs="仿宋"/>
                <w:color w:val="000000"/>
                <w:sz w:val="28"/>
                <w:szCs w:val="28"/>
              </w:rPr>
            </w:pPr>
          </w:p>
        </w:tc>
        <w:tc>
          <w:tcPr>
            <w:tcW w:w="844" w:type="dxa"/>
            <w:gridSpan w:val="3"/>
            <w:tcBorders>
              <w:top w:val="single" w:color="auto" w:sz="4" w:space="0"/>
              <w:left w:val="single" w:color="auto" w:sz="4" w:space="0"/>
              <w:bottom w:val="single" w:color="auto" w:sz="4" w:space="0"/>
              <w:right w:val="single" w:color="auto" w:sz="4" w:space="0"/>
            </w:tcBorders>
            <w:vAlign w:val="center"/>
          </w:tcPr>
          <w:p w14:paraId="794C8BCE">
            <w:pPr>
              <w:widowControl/>
              <w:spacing w:line="40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5</w:t>
            </w:r>
          </w:p>
        </w:tc>
        <w:tc>
          <w:tcPr>
            <w:tcW w:w="1142" w:type="dxa"/>
            <w:tcBorders>
              <w:top w:val="single" w:color="auto" w:sz="4" w:space="0"/>
              <w:left w:val="single" w:color="auto" w:sz="4" w:space="0"/>
              <w:bottom w:val="single" w:color="auto" w:sz="4" w:space="0"/>
              <w:right w:val="single" w:color="auto" w:sz="4" w:space="0"/>
            </w:tcBorders>
            <w:vAlign w:val="center"/>
          </w:tcPr>
          <w:p w14:paraId="5B7315B7">
            <w:pPr>
              <w:widowControl/>
              <w:spacing w:line="400" w:lineRule="exact"/>
              <w:ind w:firstLine="200"/>
              <w:jc w:val="center"/>
              <w:rPr>
                <w:rFonts w:hint="eastAsia" w:ascii="仿宋" w:hAnsi="仿宋" w:eastAsia="仿宋" w:cs="仿宋"/>
                <w:color w:val="000000"/>
                <w:sz w:val="28"/>
                <w:szCs w:val="28"/>
              </w:rPr>
            </w:pPr>
          </w:p>
        </w:tc>
      </w:tr>
      <w:tr w14:paraId="7FEEAC46">
        <w:tblPrEx>
          <w:tblCellMar>
            <w:top w:w="0" w:type="dxa"/>
            <w:left w:w="108" w:type="dxa"/>
            <w:bottom w:w="0" w:type="dxa"/>
            <w:right w:w="108" w:type="dxa"/>
          </w:tblCellMar>
        </w:tblPrEx>
        <w:trPr>
          <w:trHeight w:val="687"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46295E78">
            <w:pPr>
              <w:widowControl/>
              <w:spacing w:line="40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5A6058AB">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分管路面停车的保安，按照划分好的区域各自管理。因工作不到位或疏忽引起的车辆碰撞或刮擦由该岗位当班保安负责。</w:t>
            </w:r>
          </w:p>
        </w:tc>
        <w:tc>
          <w:tcPr>
            <w:tcW w:w="1665" w:type="dxa"/>
            <w:gridSpan w:val="2"/>
            <w:tcBorders>
              <w:top w:val="single" w:color="auto" w:sz="4" w:space="0"/>
              <w:left w:val="single" w:color="auto" w:sz="4" w:space="0"/>
              <w:bottom w:val="single" w:color="auto" w:sz="4" w:space="0"/>
              <w:right w:val="single" w:color="auto" w:sz="4" w:space="0"/>
            </w:tcBorders>
            <w:vAlign w:val="center"/>
          </w:tcPr>
          <w:p w14:paraId="51786FE5">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720" w:type="dxa"/>
            <w:tcBorders>
              <w:top w:val="single" w:color="auto" w:sz="4" w:space="0"/>
              <w:left w:val="single" w:color="auto" w:sz="4" w:space="0"/>
              <w:bottom w:val="single" w:color="auto" w:sz="4" w:space="0"/>
              <w:right w:val="single" w:color="auto" w:sz="4" w:space="0"/>
            </w:tcBorders>
            <w:vAlign w:val="center"/>
          </w:tcPr>
          <w:p w14:paraId="5B5E9051">
            <w:pPr>
              <w:widowControl/>
              <w:spacing w:line="400" w:lineRule="exact"/>
              <w:ind w:firstLine="200"/>
              <w:jc w:val="center"/>
              <w:rPr>
                <w:rFonts w:hint="eastAsia" w:ascii="仿宋" w:hAnsi="仿宋" w:eastAsia="仿宋" w:cs="仿宋"/>
                <w:color w:val="000000"/>
                <w:sz w:val="28"/>
                <w:szCs w:val="28"/>
              </w:rPr>
            </w:pPr>
          </w:p>
        </w:tc>
        <w:tc>
          <w:tcPr>
            <w:tcW w:w="844" w:type="dxa"/>
            <w:gridSpan w:val="3"/>
            <w:tcBorders>
              <w:top w:val="single" w:color="auto" w:sz="4" w:space="0"/>
              <w:left w:val="single" w:color="auto" w:sz="4" w:space="0"/>
              <w:bottom w:val="single" w:color="auto" w:sz="4" w:space="0"/>
              <w:right w:val="single" w:color="auto" w:sz="4" w:space="0"/>
            </w:tcBorders>
            <w:vAlign w:val="center"/>
          </w:tcPr>
          <w:p w14:paraId="5C9F99D6">
            <w:pPr>
              <w:widowControl/>
              <w:spacing w:line="40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5</w:t>
            </w:r>
          </w:p>
        </w:tc>
        <w:tc>
          <w:tcPr>
            <w:tcW w:w="1142" w:type="dxa"/>
            <w:tcBorders>
              <w:top w:val="single" w:color="auto" w:sz="4" w:space="0"/>
              <w:left w:val="single" w:color="auto" w:sz="4" w:space="0"/>
              <w:bottom w:val="single" w:color="auto" w:sz="4" w:space="0"/>
              <w:right w:val="single" w:color="auto" w:sz="4" w:space="0"/>
            </w:tcBorders>
            <w:vAlign w:val="center"/>
          </w:tcPr>
          <w:p w14:paraId="67BFE123">
            <w:pPr>
              <w:widowControl/>
              <w:spacing w:line="400" w:lineRule="exact"/>
              <w:ind w:firstLine="200"/>
              <w:jc w:val="center"/>
              <w:rPr>
                <w:rFonts w:hint="eastAsia" w:ascii="仿宋" w:hAnsi="仿宋" w:eastAsia="仿宋" w:cs="仿宋"/>
                <w:color w:val="000000"/>
                <w:sz w:val="28"/>
                <w:szCs w:val="28"/>
              </w:rPr>
            </w:pPr>
          </w:p>
        </w:tc>
      </w:tr>
      <w:tr w14:paraId="096B60E2">
        <w:tblPrEx>
          <w:tblCellMar>
            <w:top w:w="0" w:type="dxa"/>
            <w:left w:w="108" w:type="dxa"/>
            <w:bottom w:w="0" w:type="dxa"/>
            <w:right w:w="108" w:type="dxa"/>
          </w:tblCellMar>
        </w:tblPrEx>
        <w:trPr>
          <w:trHeight w:val="687"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6978A6C3">
            <w:pPr>
              <w:widowControl/>
              <w:spacing w:line="40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6752AB0B">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严禁病人或家属带私人大件物品（如电器、家具等）或宠物进入医院。</w:t>
            </w:r>
          </w:p>
        </w:tc>
        <w:tc>
          <w:tcPr>
            <w:tcW w:w="1665" w:type="dxa"/>
            <w:gridSpan w:val="2"/>
            <w:tcBorders>
              <w:top w:val="single" w:color="auto" w:sz="4" w:space="0"/>
              <w:left w:val="single" w:color="auto" w:sz="4" w:space="0"/>
              <w:bottom w:val="single" w:color="auto" w:sz="4" w:space="0"/>
              <w:right w:val="single" w:color="auto" w:sz="4" w:space="0"/>
            </w:tcBorders>
            <w:vAlign w:val="center"/>
          </w:tcPr>
          <w:p w14:paraId="38BC33B5">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720" w:type="dxa"/>
            <w:tcBorders>
              <w:top w:val="single" w:color="auto" w:sz="4" w:space="0"/>
              <w:left w:val="single" w:color="auto" w:sz="4" w:space="0"/>
              <w:bottom w:val="single" w:color="auto" w:sz="4" w:space="0"/>
              <w:right w:val="single" w:color="auto" w:sz="4" w:space="0"/>
            </w:tcBorders>
            <w:vAlign w:val="center"/>
          </w:tcPr>
          <w:p w14:paraId="6E31D530">
            <w:pPr>
              <w:widowControl/>
              <w:spacing w:line="400" w:lineRule="exact"/>
              <w:ind w:firstLine="200"/>
              <w:jc w:val="center"/>
              <w:rPr>
                <w:rFonts w:hint="eastAsia" w:ascii="仿宋" w:hAnsi="仿宋" w:eastAsia="仿宋" w:cs="仿宋"/>
                <w:color w:val="000000"/>
                <w:sz w:val="28"/>
                <w:szCs w:val="28"/>
              </w:rPr>
            </w:pPr>
          </w:p>
        </w:tc>
        <w:tc>
          <w:tcPr>
            <w:tcW w:w="844" w:type="dxa"/>
            <w:gridSpan w:val="3"/>
            <w:tcBorders>
              <w:top w:val="single" w:color="auto" w:sz="4" w:space="0"/>
              <w:left w:val="single" w:color="auto" w:sz="4" w:space="0"/>
              <w:bottom w:val="single" w:color="auto" w:sz="4" w:space="0"/>
              <w:right w:val="single" w:color="auto" w:sz="4" w:space="0"/>
            </w:tcBorders>
            <w:vAlign w:val="center"/>
          </w:tcPr>
          <w:p w14:paraId="36689E78">
            <w:pPr>
              <w:widowControl/>
              <w:spacing w:line="40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5</w:t>
            </w:r>
          </w:p>
        </w:tc>
        <w:tc>
          <w:tcPr>
            <w:tcW w:w="1142" w:type="dxa"/>
            <w:tcBorders>
              <w:top w:val="single" w:color="auto" w:sz="4" w:space="0"/>
              <w:left w:val="single" w:color="auto" w:sz="4" w:space="0"/>
              <w:bottom w:val="single" w:color="auto" w:sz="4" w:space="0"/>
              <w:right w:val="single" w:color="auto" w:sz="4" w:space="0"/>
            </w:tcBorders>
            <w:vAlign w:val="center"/>
          </w:tcPr>
          <w:p w14:paraId="7003B83C">
            <w:pPr>
              <w:widowControl/>
              <w:spacing w:line="400" w:lineRule="exact"/>
              <w:ind w:firstLine="200"/>
              <w:jc w:val="center"/>
              <w:rPr>
                <w:rFonts w:hint="eastAsia" w:ascii="仿宋" w:hAnsi="仿宋" w:eastAsia="仿宋" w:cs="仿宋"/>
                <w:color w:val="000000"/>
                <w:sz w:val="28"/>
                <w:szCs w:val="28"/>
              </w:rPr>
            </w:pPr>
          </w:p>
        </w:tc>
      </w:tr>
      <w:tr w14:paraId="5094AC62">
        <w:tblPrEx>
          <w:tblCellMar>
            <w:top w:w="0" w:type="dxa"/>
            <w:left w:w="108" w:type="dxa"/>
            <w:bottom w:w="0" w:type="dxa"/>
            <w:right w:w="108" w:type="dxa"/>
          </w:tblCellMar>
        </w:tblPrEx>
        <w:trPr>
          <w:trHeight w:val="687"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31534757">
            <w:pPr>
              <w:widowControl/>
              <w:spacing w:line="40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1817AA8A">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值班期间禁止睡觉，做与工作无关的事。</w:t>
            </w:r>
          </w:p>
        </w:tc>
        <w:tc>
          <w:tcPr>
            <w:tcW w:w="1665" w:type="dxa"/>
            <w:gridSpan w:val="2"/>
            <w:tcBorders>
              <w:top w:val="single" w:color="auto" w:sz="4" w:space="0"/>
              <w:left w:val="single" w:color="auto" w:sz="4" w:space="0"/>
              <w:bottom w:val="single" w:color="auto" w:sz="4" w:space="0"/>
              <w:right w:val="single" w:color="auto" w:sz="4" w:space="0"/>
            </w:tcBorders>
            <w:vAlign w:val="center"/>
          </w:tcPr>
          <w:p w14:paraId="72657B97">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720" w:type="dxa"/>
            <w:tcBorders>
              <w:top w:val="single" w:color="auto" w:sz="4" w:space="0"/>
              <w:left w:val="single" w:color="auto" w:sz="4" w:space="0"/>
              <w:bottom w:val="single" w:color="auto" w:sz="4" w:space="0"/>
              <w:right w:val="single" w:color="auto" w:sz="4" w:space="0"/>
            </w:tcBorders>
            <w:vAlign w:val="center"/>
          </w:tcPr>
          <w:p w14:paraId="172ED52A">
            <w:pPr>
              <w:widowControl/>
              <w:spacing w:line="400" w:lineRule="exact"/>
              <w:ind w:firstLine="200"/>
              <w:jc w:val="center"/>
              <w:rPr>
                <w:rFonts w:hint="eastAsia" w:ascii="仿宋" w:hAnsi="仿宋" w:eastAsia="仿宋" w:cs="仿宋"/>
                <w:color w:val="000000"/>
                <w:sz w:val="28"/>
                <w:szCs w:val="28"/>
              </w:rPr>
            </w:pPr>
          </w:p>
        </w:tc>
        <w:tc>
          <w:tcPr>
            <w:tcW w:w="844" w:type="dxa"/>
            <w:gridSpan w:val="3"/>
            <w:tcBorders>
              <w:top w:val="single" w:color="auto" w:sz="4" w:space="0"/>
              <w:left w:val="single" w:color="auto" w:sz="4" w:space="0"/>
              <w:bottom w:val="single" w:color="auto" w:sz="4" w:space="0"/>
              <w:right w:val="single" w:color="auto" w:sz="4" w:space="0"/>
            </w:tcBorders>
            <w:vAlign w:val="center"/>
          </w:tcPr>
          <w:p w14:paraId="28B40B4E">
            <w:pPr>
              <w:widowControl/>
              <w:spacing w:line="40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5</w:t>
            </w:r>
          </w:p>
        </w:tc>
        <w:tc>
          <w:tcPr>
            <w:tcW w:w="1142" w:type="dxa"/>
            <w:tcBorders>
              <w:top w:val="single" w:color="auto" w:sz="4" w:space="0"/>
              <w:left w:val="single" w:color="auto" w:sz="4" w:space="0"/>
              <w:bottom w:val="single" w:color="auto" w:sz="4" w:space="0"/>
              <w:right w:val="single" w:color="auto" w:sz="4" w:space="0"/>
            </w:tcBorders>
            <w:vAlign w:val="center"/>
          </w:tcPr>
          <w:p w14:paraId="58AACAD8">
            <w:pPr>
              <w:widowControl/>
              <w:spacing w:line="400" w:lineRule="exact"/>
              <w:ind w:firstLine="200"/>
              <w:jc w:val="center"/>
              <w:rPr>
                <w:rFonts w:hint="eastAsia" w:ascii="仿宋" w:hAnsi="仿宋" w:eastAsia="仿宋" w:cs="仿宋"/>
                <w:color w:val="000000"/>
                <w:sz w:val="28"/>
                <w:szCs w:val="28"/>
              </w:rPr>
            </w:pPr>
          </w:p>
        </w:tc>
      </w:tr>
      <w:tr w14:paraId="33499EB9">
        <w:tblPrEx>
          <w:tblCellMar>
            <w:top w:w="0" w:type="dxa"/>
            <w:left w:w="108" w:type="dxa"/>
            <w:bottom w:w="0" w:type="dxa"/>
            <w:right w:w="108" w:type="dxa"/>
          </w:tblCellMar>
        </w:tblPrEx>
        <w:trPr>
          <w:trHeight w:val="376" w:hRule="atLeast"/>
        </w:trPr>
        <w:tc>
          <w:tcPr>
            <w:tcW w:w="872" w:type="dxa"/>
            <w:tcBorders>
              <w:top w:val="single" w:color="auto" w:sz="4" w:space="0"/>
              <w:left w:val="single" w:color="auto" w:sz="4" w:space="0"/>
              <w:bottom w:val="single" w:color="auto" w:sz="4" w:space="0"/>
              <w:right w:val="single" w:color="auto" w:sz="4" w:space="0"/>
            </w:tcBorders>
            <w:vAlign w:val="center"/>
          </w:tcPr>
          <w:p w14:paraId="68D52544">
            <w:pPr>
              <w:widowControl/>
              <w:spacing w:line="26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病房楼保安（10分）</w:t>
            </w:r>
          </w:p>
        </w:tc>
        <w:tc>
          <w:tcPr>
            <w:tcW w:w="4515" w:type="dxa"/>
            <w:tcBorders>
              <w:top w:val="single" w:color="auto" w:sz="4" w:space="0"/>
              <w:left w:val="single" w:color="auto" w:sz="4" w:space="0"/>
              <w:bottom w:val="single" w:color="auto" w:sz="4" w:space="0"/>
              <w:right w:val="single" w:color="auto" w:sz="4" w:space="0"/>
            </w:tcBorders>
            <w:vAlign w:val="center"/>
          </w:tcPr>
          <w:p w14:paraId="1A362AA1">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加强病房楼、门诊楼大门的管理，掌握人员进出动向。严禁散发医疗广告人员进入病房楼。对进出病房楼大门的人员，根据医院陪护制度和门卫工作制度执行，维护医院正常秩序。做到“逢包必检”。</w:t>
            </w:r>
          </w:p>
        </w:tc>
        <w:tc>
          <w:tcPr>
            <w:tcW w:w="1665" w:type="dxa"/>
            <w:gridSpan w:val="2"/>
            <w:tcBorders>
              <w:top w:val="single" w:color="auto" w:sz="4" w:space="0"/>
              <w:left w:val="single" w:color="auto" w:sz="4" w:space="0"/>
              <w:bottom w:val="single" w:color="auto" w:sz="4" w:space="0"/>
              <w:right w:val="single" w:color="auto" w:sz="4" w:space="0"/>
            </w:tcBorders>
            <w:vAlign w:val="center"/>
          </w:tcPr>
          <w:p w14:paraId="5AE3AAAB">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每发现一次不合要求扣2分。</w:t>
            </w:r>
          </w:p>
        </w:tc>
        <w:tc>
          <w:tcPr>
            <w:tcW w:w="720" w:type="dxa"/>
            <w:tcBorders>
              <w:top w:val="single" w:color="auto" w:sz="4" w:space="0"/>
              <w:left w:val="single" w:color="auto" w:sz="4" w:space="0"/>
              <w:bottom w:val="single" w:color="auto" w:sz="4" w:space="0"/>
              <w:right w:val="single" w:color="auto" w:sz="4" w:space="0"/>
            </w:tcBorders>
            <w:vAlign w:val="center"/>
          </w:tcPr>
          <w:p w14:paraId="71E376EA">
            <w:pPr>
              <w:ind w:firstLine="200"/>
              <w:rPr>
                <w:rFonts w:hint="eastAsia" w:ascii="仿宋" w:hAnsi="仿宋" w:eastAsia="仿宋" w:cs="仿宋"/>
                <w:color w:val="000000"/>
                <w:sz w:val="28"/>
                <w:szCs w:val="28"/>
              </w:rPr>
            </w:pPr>
          </w:p>
        </w:tc>
        <w:tc>
          <w:tcPr>
            <w:tcW w:w="844" w:type="dxa"/>
            <w:gridSpan w:val="3"/>
            <w:tcBorders>
              <w:top w:val="single" w:color="auto" w:sz="4" w:space="0"/>
              <w:left w:val="single" w:color="auto" w:sz="4" w:space="0"/>
              <w:bottom w:val="single" w:color="auto" w:sz="4" w:space="0"/>
              <w:right w:val="single" w:color="auto" w:sz="4" w:space="0"/>
            </w:tcBorders>
            <w:vAlign w:val="center"/>
          </w:tcPr>
          <w:p w14:paraId="0108E88F">
            <w:pPr>
              <w:widowControl/>
              <w:spacing w:line="40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10</w:t>
            </w:r>
          </w:p>
        </w:tc>
        <w:tc>
          <w:tcPr>
            <w:tcW w:w="1142" w:type="dxa"/>
            <w:tcBorders>
              <w:top w:val="single" w:color="auto" w:sz="4" w:space="0"/>
              <w:left w:val="single" w:color="auto" w:sz="4" w:space="0"/>
              <w:bottom w:val="single" w:color="auto" w:sz="4" w:space="0"/>
              <w:right w:val="single" w:color="auto" w:sz="4" w:space="0"/>
            </w:tcBorders>
            <w:vAlign w:val="center"/>
          </w:tcPr>
          <w:p w14:paraId="2F07E722">
            <w:pPr>
              <w:widowControl/>
              <w:spacing w:line="400" w:lineRule="exact"/>
              <w:ind w:firstLine="200"/>
              <w:jc w:val="center"/>
              <w:rPr>
                <w:rFonts w:hint="eastAsia" w:ascii="仿宋" w:hAnsi="仿宋" w:eastAsia="仿宋" w:cs="仿宋"/>
                <w:color w:val="000000"/>
                <w:sz w:val="28"/>
                <w:szCs w:val="28"/>
              </w:rPr>
            </w:pPr>
          </w:p>
        </w:tc>
      </w:tr>
      <w:tr w14:paraId="629D899D">
        <w:tblPrEx>
          <w:tblCellMar>
            <w:top w:w="0" w:type="dxa"/>
            <w:left w:w="108" w:type="dxa"/>
            <w:bottom w:w="0" w:type="dxa"/>
            <w:right w:w="108" w:type="dxa"/>
          </w:tblCellMar>
        </w:tblPrEx>
        <w:trPr>
          <w:trHeight w:val="687" w:hRule="atLeast"/>
        </w:trPr>
        <w:tc>
          <w:tcPr>
            <w:tcW w:w="872" w:type="dxa"/>
            <w:vMerge w:val="restart"/>
            <w:tcBorders>
              <w:top w:val="single" w:color="auto" w:sz="4" w:space="0"/>
              <w:left w:val="single" w:color="auto" w:sz="4" w:space="0"/>
              <w:bottom w:val="single" w:color="auto" w:sz="4" w:space="0"/>
              <w:right w:val="single" w:color="auto" w:sz="4" w:space="0"/>
            </w:tcBorders>
            <w:vAlign w:val="center"/>
          </w:tcPr>
          <w:p w14:paraId="6E4D8F33">
            <w:pPr>
              <w:widowControl/>
              <w:spacing w:line="26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门诊保安（10分）</w:t>
            </w:r>
          </w:p>
        </w:tc>
        <w:tc>
          <w:tcPr>
            <w:tcW w:w="4515" w:type="dxa"/>
            <w:tcBorders>
              <w:top w:val="single" w:color="auto" w:sz="4" w:space="0"/>
              <w:left w:val="single" w:color="auto" w:sz="4" w:space="0"/>
              <w:bottom w:val="single" w:color="auto" w:sz="4" w:space="0"/>
              <w:right w:val="single" w:color="auto" w:sz="4" w:space="0"/>
            </w:tcBorders>
            <w:vAlign w:val="center"/>
          </w:tcPr>
          <w:p w14:paraId="6E20EEB9">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门诊保安主要负责排队挂号、缴费、取药、检查等的秩序管理。</w:t>
            </w:r>
          </w:p>
        </w:tc>
        <w:tc>
          <w:tcPr>
            <w:tcW w:w="1665" w:type="dxa"/>
            <w:gridSpan w:val="2"/>
            <w:tcBorders>
              <w:top w:val="single" w:color="auto" w:sz="4" w:space="0"/>
              <w:left w:val="single" w:color="auto" w:sz="4" w:space="0"/>
              <w:bottom w:val="single" w:color="auto" w:sz="4" w:space="0"/>
              <w:right w:val="single" w:color="auto" w:sz="4" w:space="0"/>
            </w:tcBorders>
            <w:vAlign w:val="center"/>
          </w:tcPr>
          <w:p w14:paraId="07C36092">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720" w:type="dxa"/>
            <w:tcBorders>
              <w:top w:val="single" w:color="auto" w:sz="4" w:space="0"/>
              <w:left w:val="single" w:color="auto" w:sz="4" w:space="0"/>
              <w:bottom w:val="single" w:color="auto" w:sz="4" w:space="0"/>
              <w:right w:val="single" w:color="auto" w:sz="4" w:space="0"/>
            </w:tcBorders>
            <w:vAlign w:val="center"/>
          </w:tcPr>
          <w:p w14:paraId="42845B65">
            <w:pPr>
              <w:widowControl/>
              <w:spacing w:line="400" w:lineRule="exact"/>
              <w:ind w:firstLine="200"/>
              <w:jc w:val="center"/>
              <w:rPr>
                <w:rFonts w:hint="eastAsia" w:ascii="仿宋" w:hAnsi="仿宋" w:eastAsia="仿宋" w:cs="仿宋"/>
                <w:color w:val="000000"/>
                <w:sz w:val="28"/>
                <w:szCs w:val="28"/>
              </w:rPr>
            </w:pPr>
          </w:p>
        </w:tc>
        <w:tc>
          <w:tcPr>
            <w:tcW w:w="844" w:type="dxa"/>
            <w:gridSpan w:val="3"/>
            <w:tcBorders>
              <w:top w:val="single" w:color="auto" w:sz="4" w:space="0"/>
              <w:left w:val="single" w:color="auto" w:sz="4" w:space="0"/>
              <w:bottom w:val="single" w:color="auto" w:sz="4" w:space="0"/>
              <w:right w:val="single" w:color="auto" w:sz="4" w:space="0"/>
            </w:tcBorders>
            <w:vAlign w:val="center"/>
          </w:tcPr>
          <w:p w14:paraId="0525A4F6">
            <w:pPr>
              <w:widowControl/>
              <w:spacing w:line="40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5</w:t>
            </w:r>
          </w:p>
        </w:tc>
        <w:tc>
          <w:tcPr>
            <w:tcW w:w="1142" w:type="dxa"/>
            <w:tcBorders>
              <w:top w:val="single" w:color="auto" w:sz="4" w:space="0"/>
              <w:left w:val="single" w:color="auto" w:sz="4" w:space="0"/>
              <w:bottom w:val="single" w:color="auto" w:sz="4" w:space="0"/>
              <w:right w:val="single" w:color="auto" w:sz="4" w:space="0"/>
            </w:tcBorders>
            <w:vAlign w:val="center"/>
          </w:tcPr>
          <w:p w14:paraId="17480776">
            <w:pPr>
              <w:widowControl/>
              <w:spacing w:line="400" w:lineRule="exact"/>
              <w:ind w:firstLine="200"/>
              <w:jc w:val="center"/>
              <w:rPr>
                <w:rFonts w:hint="eastAsia" w:ascii="仿宋" w:hAnsi="仿宋" w:eastAsia="仿宋" w:cs="仿宋"/>
                <w:color w:val="000000"/>
                <w:sz w:val="28"/>
                <w:szCs w:val="28"/>
              </w:rPr>
            </w:pPr>
          </w:p>
        </w:tc>
      </w:tr>
      <w:tr w14:paraId="543E8501">
        <w:tblPrEx>
          <w:tblCellMar>
            <w:top w:w="0" w:type="dxa"/>
            <w:left w:w="108" w:type="dxa"/>
            <w:bottom w:w="0" w:type="dxa"/>
            <w:right w:w="108" w:type="dxa"/>
          </w:tblCellMar>
        </w:tblPrEx>
        <w:trPr>
          <w:trHeight w:val="856" w:hRule="atLeast"/>
        </w:trPr>
        <w:tc>
          <w:tcPr>
            <w:tcW w:w="872" w:type="dxa"/>
            <w:vMerge w:val="continue"/>
            <w:tcBorders>
              <w:top w:val="single" w:color="auto" w:sz="4" w:space="0"/>
              <w:left w:val="single" w:color="auto" w:sz="4" w:space="0"/>
              <w:bottom w:val="single" w:color="auto" w:sz="4" w:space="0"/>
              <w:right w:val="single" w:color="auto" w:sz="4" w:space="0"/>
            </w:tcBorders>
            <w:vAlign w:val="center"/>
          </w:tcPr>
          <w:p w14:paraId="622A16F1">
            <w:pPr>
              <w:widowControl/>
              <w:spacing w:line="400" w:lineRule="exact"/>
              <w:ind w:firstLine="200"/>
              <w:jc w:val="center"/>
              <w:rPr>
                <w:rFonts w:hint="eastAsia" w:ascii="仿宋" w:hAnsi="仿宋" w:eastAsia="仿宋" w:cs="仿宋"/>
                <w:color w:val="000000"/>
                <w:sz w:val="28"/>
                <w:szCs w:val="28"/>
              </w:rPr>
            </w:pPr>
          </w:p>
        </w:tc>
        <w:tc>
          <w:tcPr>
            <w:tcW w:w="4515" w:type="dxa"/>
            <w:tcBorders>
              <w:top w:val="single" w:color="auto" w:sz="4" w:space="0"/>
              <w:left w:val="single" w:color="auto" w:sz="4" w:space="0"/>
              <w:bottom w:val="single" w:color="auto" w:sz="4" w:space="0"/>
              <w:right w:val="single" w:color="auto" w:sz="4" w:space="0"/>
            </w:tcBorders>
            <w:vAlign w:val="center"/>
          </w:tcPr>
          <w:p w14:paraId="251B4833">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严禁保安员及家属或亲戚利用挂号进行牟利。一经发现，将通知乙方严肃处理。</w:t>
            </w:r>
          </w:p>
        </w:tc>
        <w:tc>
          <w:tcPr>
            <w:tcW w:w="1665" w:type="dxa"/>
            <w:gridSpan w:val="2"/>
            <w:tcBorders>
              <w:top w:val="single" w:color="auto" w:sz="4" w:space="0"/>
              <w:left w:val="single" w:color="auto" w:sz="4" w:space="0"/>
              <w:bottom w:val="single" w:color="auto" w:sz="4" w:space="0"/>
              <w:right w:val="single" w:color="auto" w:sz="4" w:space="0"/>
            </w:tcBorders>
            <w:vAlign w:val="center"/>
          </w:tcPr>
          <w:p w14:paraId="5C713C6C">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每发现一次不合要求扣1分。</w:t>
            </w:r>
          </w:p>
        </w:tc>
        <w:tc>
          <w:tcPr>
            <w:tcW w:w="720" w:type="dxa"/>
            <w:tcBorders>
              <w:top w:val="single" w:color="auto" w:sz="4" w:space="0"/>
              <w:left w:val="single" w:color="auto" w:sz="4" w:space="0"/>
              <w:bottom w:val="single" w:color="auto" w:sz="4" w:space="0"/>
              <w:right w:val="single" w:color="auto" w:sz="4" w:space="0"/>
            </w:tcBorders>
            <w:vAlign w:val="center"/>
          </w:tcPr>
          <w:p w14:paraId="4424637A">
            <w:pPr>
              <w:widowControl/>
              <w:spacing w:line="400" w:lineRule="exact"/>
              <w:ind w:firstLine="200"/>
              <w:jc w:val="center"/>
              <w:rPr>
                <w:rFonts w:hint="eastAsia" w:ascii="仿宋" w:hAnsi="仿宋" w:eastAsia="仿宋" w:cs="仿宋"/>
                <w:color w:val="000000"/>
                <w:sz w:val="28"/>
                <w:szCs w:val="28"/>
              </w:rPr>
            </w:pPr>
          </w:p>
        </w:tc>
        <w:tc>
          <w:tcPr>
            <w:tcW w:w="844" w:type="dxa"/>
            <w:gridSpan w:val="3"/>
            <w:tcBorders>
              <w:top w:val="single" w:color="auto" w:sz="4" w:space="0"/>
              <w:left w:val="single" w:color="auto" w:sz="4" w:space="0"/>
              <w:bottom w:val="single" w:color="auto" w:sz="4" w:space="0"/>
              <w:right w:val="single" w:color="auto" w:sz="4" w:space="0"/>
            </w:tcBorders>
            <w:vAlign w:val="center"/>
          </w:tcPr>
          <w:p w14:paraId="7C6A3589">
            <w:pPr>
              <w:widowControl/>
              <w:spacing w:line="40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5</w:t>
            </w:r>
          </w:p>
        </w:tc>
        <w:tc>
          <w:tcPr>
            <w:tcW w:w="1142" w:type="dxa"/>
            <w:tcBorders>
              <w:top w:val="single" w:color="auto" w:sz="4" w:space="0"/>
              <w:left w:val="single" w:color="auto" w:sz="4" w:space="0"/>
              <w:bottom w:val="single" w:color="auto" w:sz="4" w:space="0"/>
              <w:right w:val="single" w:color="auto" w:sz="4" w:space="0"/>
            </w:tcBorders>
            <w:vAlign w:val="center"/>
          </w:tcPr>
          <w:p w14:paraId="34E0B8EF">
            <w:pPr>
              <w:widowControl/>
              <w:spacing w:line="400" w:lineRule="exact"/>
              <w:ind w:firstLine="200"/>
              <w:jc w:val="center"/>
              <w:rPr>
                <w:rFonts w:hint="eastAsia" w:ascii="仿宋" w:hAnsi="仿宋" w:eastAsia="仿宋" w:cs="仿宋"/>
                <w:color w:val="000000"/>
                <w:sz w:val="28"/>
                <w:szCs w:val="28"/>
              </w:rPr>
            </w:pPr>
          </w:p>
        </w:tc>
      </w:tr>
      <w:tr w14:paraId="6FDC5D65">
        <w:tblPrEx>
          <w:tblCellMar>
            <w:top w:w="0" w:type="dxa"/>
            <w:left w:w="108" w:type="dxa"/>
            <w:bottom w:w="0" w:type="dxa"/>
            <w:right w:w="108" w:type="dxa"/>
          </w:tblCellMar>
        </w:tblPrEx>
        <w:trPr>
          <w:trHeight w:val="945" w:hRule="atLeast"/>
        </w:trPr>
        <w:tc>
          <w:tcPr>
            <w:tcW w:w="872" w:type="dxa"/>
            <w:tcBorders>
              <w:top w:val="single" w:color="auto" w:sz="4" w:space="0"/>
              <w:left w:val="single" w:color="auto" w:sz="4" w:space="0"/>
              <w:bottom w:val="single" w:color="auto" w:sz="4" w:space="0"/>
              <w:right w:val="single" w:color="auto" w:sz="4" w:space="0"/>
            </w:tcBorders>
            <w:vAlign w:val="center"/>
          </w:tcPr>
          <w:p w14:paraId="32C1AE9E">
            <w:pPr>
              <w:widowControl/>
              <w:spacing w:line="26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顾客满意度（10分）</w:t>
            </w:r>
          </w:p>
        </w:tc>
        <w:tc>
          <w:tcPr>
            <w:tcW w:w="4515" w:type="dxa"/>
            <w:tcBorders>
              <w:top w:val="single" w:color="auto" w:sz="4" w:space="0"/>
              <w:left w:val="single" w:color="auto" w:sz="4" w:space="0"/>
              <w:bottom w:val="single" w:color="auto" w:sz="4" w:space="0"/>
              <w:right w:val="single" w:color="auto" w:sz="4" w:space="0"/>
            </w:tcBorders>
            <w:vAlign w:val="center"/>
          </w:tcPr>
          <w:p w14:paraId="3C92C25D">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服务质量达标，顾客满意，每月无顾客投诉。</w:t>
            </w:r>
          </w:p>
        </w:tc>
        <w:tc>
          <w:tcPr>
            <w:tcW w:w="1665" w:type="dxa"/>
            <w:gridSpan w:val="2"/>
            <w:tcBorders>
              <w:top w:val="single" w:color="auto" w:sz="4" w:space="0"/>
              <w:left w:val="single" w:color="auto" w:sz="4" w:space="0"/>
              <w:bottom w:val="single" w:color="auto" w:sz="4" w:space="0"/>
              <w:right w:val="single" w:color="auto" w:sz="4" w:space="0"/>
            </w:tcBorders>
            <w:vAlign w:val="center"/>
          </w:tcPr>
          <w:p w14:paraId="17823EAB">
            <w:pPr>
              <w:widowControl/>
              <w:spacing w:line="260" w:lineRule="exact"/>
              <w:ind w:firstLine="200"/>
              <w:jc w:val="left"/>
              <w:rPr>
                <w:rFonts w:hint="eastAsia" w:ascii="仿宋" w:hAnsi="仿宋" w:eastAsia="仿宋" w:cs="仿宋"/>
                <w:color w:val="000000"/>
                <w:sz w:val="28"/>
                <w:szCs w:val="28"/>
              </w:rPr>
            </w:pPr>
            <w:r>
              <w:rPr>
                <w:rFonts w:hint="eastAsia" w:ascii="仿宋" w:hAnsi="仿宋" w:eastAsia="仿宋" w:cs="仿宋"/>
                <w:color w:val="000000"/>
                <w:sz w:val="28"/>
                <w:szCs w:val="28"/>
              </w:rPr>
              <w:t>每发现一次不合要求扣2分。</w:t>
            </w:r>
          </w:p>
        </w:tc>
        <w:tc>
          <w:tcPr>
            <w:tcW w:w="720" w:type="dxa"/>
            <w:tcBorders>
              <w:top w:val="single" w:color="auto" w:sz="4" w:space="0"/>
              <w:left w:val="single" w:color="auto" w:sz="4" w:space="0"/>
              <w:bottom w:val="single" w:color="auto" w:sz="4" w:space="0"/>
              <w:right w:val="single" w:color="auto" w:sz="4" w:space="0"/>
            </w:tcBorders>
            <w:vAlign w:val="center"/>
          </w:tcPr>
          <w:p w14:paraId="0F3C97EF">
            <w:pPr>
              <w:widowControl/>
              <w:spacing w:line="400" w:lineRule="exact"/>
              <w:ind w:firstLine="200"/>
              <w:jc w:val="center"/>
              <w:rPr>
                <w:rFonts w:hint="eastAsia" w:ascii="仿宋" w:hAnsi="仿宋" w:eastAsia="仿宋" w:cs="仿宋"/>
                <w:color w:val="000000"/>
                <w:sz w:val="28"/>
                <w:szCs w:val="28"/>
              </w:rPr>
            </w:pPr>
          </w:p>
        </w:tc>
        <w:tc>
          <w:tcPr>
            <w:tcW w:w="844" w:type="dxa"/>
            <w:gridSpan w:val="3"/>
            <w:tcBorders>
              <w:top w:val="single" w:color="auto" w:sz="4" w:space="0"/>
              <w:left w:val="single" w:color="auto" w:sz="4" w:space="0"/>
              <w:bottom w:val="single" w:color="auto" w:sz="4" w:space="0"/>
              <w:right w:val="single" w:color="auto" w:sz="4" w:space="0"/>
            </w:tcBorders>
            <w:vAlign w:val="center"/>
          </w:tcPr>
          <w:p w14:paraId="1D82F2C6">
            <w:pPr>
              <w:widowControl/>
              <w:spacing w:line="40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10</w:t>
            </w:r>
          </w:p>
        </w:tc>
        <w:tc>
          <w:tcPr>
            <w:tcW w:w="1142" w:type="dxa"/>
            <w:tcBorders>
              <w:top w:val="single" w:color="auto" w:sz="4" w:space="0"/>
              <w:left w:val="single" w:color="auto" w:sz="4" w:space="0"/>
              <w:bottom w:val="single" w:color="auto" w:sz="4" w:space="0"/>
              <w:right w:val="single" w:color="auto" w:sz="4" w:space="0"/>
            </w:tcBorders>
            <w:vAlign w:val="center"/>
          </w:tcPr>
          <w:p w14:paraId="6C718FC2">
            <w:pPr>
              <w:widowControl/>
              <w:spacing w:line="40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w:t>
            </w:r>
          </w:p>
        </w:tc>
      </w:tr>
      <w:tr w14:paraId="1A328821">
        <w:tblPrEx>
          <w:tblCellMar>
            <w:top w:w="0" w:type="dxa"/>
            <w:left w:w="108" w:type="dxa"/>
            <w:bottom w:w="0" w:type="dxa"/>
            <w:right w:w="108" w:type="dxa"/>
          </w:tblCellMar>
        </w:tblPrEx>
        <w:trPr>
          <w:trHeight w:val="561" w:hRule="atLeast"/>
        </w:trPr>
        <w:tc>
          <w:tcPr>
            <w:tcW w:w="8616" w:type="dxa"/>
            <w:gridSpan w:val="8"/>
            <w:tcBorders>
              <w:top w:val="single" w:color="auto" w:sz="4" w:space="0"/>
              <w:left w:val="single" w:color="auto" w:sz="4" w:space="0"/>
              <w:bottom w:val="single" w:color="auto" w:sz="4" w:space="0"/>
              <w:right w:val="single" w:color="auto" w:sz="4" w:space="0"/>
            </w:tcBorders>
            <w:vAlign w:val="center"/>
          </w:tcPr>
          <w:p w14:paraId="68EAFC11">
            <w:pPr>
              <w:widowControl/>
              <w:spacing w:line="400" w:lineRule="exact"/>
              <w:ind w:firstLine="200"/>
              <w:jc w:val="center"/>
              <w:rPr>
                <w:rFonts w:hint="eastAsia" w:ascii="仿宋" w:hAnsi="仿宋" w:eastAsia="仿宋" w:cs="仿宋"/>
                <w:color w:val="000000"/>
                <w:sz w:val="28"/>
                <w:szCs w:val="28"/>
              </w:rPr>
            </w:pPr>
            <w:r>
              <w:rPr>
                <w:rFonts w:hint="eastAsia" w:ascii="仿宋" w:hAnsi="仿宋" w:eastAsia="仿宋" w:cs="仿宋"/>
                <w:color w:val="000000"/>
                <w:sz w:val="28"/>
                <w:szCs w:val="28"/>
              </w:rPr>
              <w:t>总得分</w:t>
            </w:r>
          </w:p>
        </w:tc>
        <w:tc>
          <w:tcPr>
            <w:tcW w:w="1142" w:type="dxa"/>
            <w:tcBorders>
              <w:top w:val="single" w:color="auto" w:sz="4" w:space="0"/>
              <w:left w:val="single" w:color="auto" w:sz="4" w:space="0"/>
              <w:bottom w:val="single" w:color="auto" w:sz="4" w:space="0"/>
              <w:right w:val="single" w:color="auto" w:sz="4" w:space="0"/>
            </w:tcBorders>
            <w:vAlign w:val="center"/>
          </w:tcPr>
          <w:p w14:paraId="34719646">
            <w:pPr>
              <w:widowControl/>
              <w:spacing w:line="400" w:lineRule="exact"/>
              <w:ind w:firstLine="200"/>
              <w:jc w:val="center"/>
              <w:rPr>
                <w:rFonts w:hint="eastAsia" w:ascii="仿宋" w:hAnsi="仿宋" w:eastAsia="仿宋" w:cs="仿宋"/>
                <w:color w:val="000000"/>
                <w:sz w:val="28"/>
                <w:szCs w:val="28"/>
              </w:rPr>
            </w:pPr>
          </w:p>
        </w:tc>
      </w:tr>
    </w:tbl>
    <w:p w14:paraId="4BA8A698">
      <w:pPr>
        <w:keepNext w:val="0"/>
        <w:keepLines w:val="0"/>
        <w:pageBreakBefore w:val="0"/>
        <w:widowControl w:val="0"/>
        <w:kinsoku/>
        <w:wordWrap/>
        <w:overflowPunct/>
        <w:topLinePunct w:val="0"/>
        <w:autoSpaceDE/>
        <w:autoSpaceDN/>
        <w:bidi w:val="0"/>
        <w:adjustRightInd/>
        <w:snapToGrid w:val="0"/>
        <w:spacing w:line="360" w:lineRule="atLeast"/>
        <w:ind w:firstLine="596" w:firstLineChars="213"/>
        <w:textAlignment w:val="auto"/>
        <w:rPr>
          <w:rStyle w:val="28"/>
          <w:rFonts w:hint="eastAsia" w:ascii="仿宋" w:hAnsi="仿宋" w:eastAsia="仿宋" w:cs="仿宋"/>
          <w:color w:val="000000"/>
          <w:sz w:val="28"/>
          <w:szCs w:val="28"/>
        </w:rPr>
      </w:pPr>
      <w:r>
        <w:rPr>
          <w:rStyle w:val="28"/>
          <w:rFonts w:hint="eastAsia" w:ascii="仿宋" w:hAnsi="仿宋" w:eastAsia="仿宋" w:cs="仿宋"/>
          <w:color w:val="000000"/>
          <w:sz w:val="28"/>
          <w:szCs w:val="28"/>
        </w:rPr>
        <w:t>注：一、考核的组织人员与实施</w:t>
      </w:r>
    </w:p>
    <w:p w14:paraId="5E582BFB">
      <w:pPr>
        <w:keepNext w:val="0"/>
        <w:keepLines w:val="0"/>
        <w:pageBreakBefore w:val="0"/>
        <w:widowControl w:val="0"/>
        <w:kinsoku/>
        <w:wordWrap/>
        <w:overflowPunct/>
        <w:topLinePunct w:val="0"/>
        <w:autoSpaceDE/>
        <w:autoSpaceDN/>
        <w:bidi w:val="0"/>
        <w:adjustRightInd/>
        <w:snapToGrid w:val="0"/>
        <w:spacing w:line="360" w:lineRule="atLeast"/>
        <w:ind w:firstLine="596" w:firstLineChars="213"/>
        <w:textAlignment w:val="auto"/>
        <w:rPr>
          <w:rStyle w:val="28"/>
          <w:rFonts w:hint="eastAsia" w:ascii="仿宋" w:hAnsi="仿宋" w:eastAsia="仿宋" w:cs="仿宋"/>
          <w:color w:val="000000"/>
          <w:sz w:val="28"/>
          <w:szCs w:val="28"/>
        </w:rPr>
      </w:pPr>
      <w:r>
        <w:rPr>
          <w:rFonts w:hint="eastAsia" w:ascii="仿宋" w:hAnsi="仿宋" w:eastAsia="仿宋" w:cs="仿宋"/>
          <w:color w:val="000000"/>
          <w:sz w:val="28"/>
          <w:szCs w:val="28"/>
        </w:rPr>
        <w:t>甲方</w:t>
      </w:r>
      <w:r>
        <w:rPr>
          <w:rStyle w:val="28"/>
          <w:rFonts w:hint="eastAsia" w:ascii="仿宋" w:hAnsi="仿宋" w:eastAsia="仿宋" w:cs="仿宋"/>
          <w:color w:val="000000"/>
          <w:sz w:val="28"/>
          <w:szCs w:val="28"/>
        </w:rPr>
        <w:t>成立物业管理考核小组，具体负责相关考核工作。考核小组依据百分考核情况（满分为100分）。</w:t>
      </w:r>
    </w:p>
    <w:p w14:paraId="0D9CD55F">
      <w:pPr>
        <w:keepNext w:val="0"/>
        <w:keepLines w:val="0"/>
        <w:pageBreakBefore w:val="0"/>
        <w:widowControl w:val="0"/>
        <w:kinsoku/>
        <w:wordWrap/>
        <w:overflowPunct/>
        <w:topLinePunct w:val="0"/>
        <w:autoSpaceDE/>
        <w:autoSpaceDN/>
        <w:bidi w:val="0"/>
        <w:adjustRightInd/>
        <w:snapToGrid w:val="0"/>
        <w:spacing w:line="360" w:lineRule="atLeast"/>
        <w:ind w:firstLine="596" w:firstLineChars="213"/>
        <w:textAlignment w:val="auto"/>
        <w:rPr>
          <w:rStyle w:val="28"/>
          <w:rFonts w:hint="eastAsia" w:ascii="仿宋" w:hAnsi="仿宋" w:eastAsia="仿宋" w:cs="仿宋"/>
          <w:color w:val="000000"/>
          <w:sz w:val="28"/>
          <w:szCs w:val="28"/>
        </w:rPr>
      </w:pPr>
      <w:r>
        <w:rPr>
          <w:rStyle w:val="28"/>
          <w:rFonts w:hint="eastAsia" w:ascii="仿宋" w:hAnsi="仿宋" w:eastAsia="仿宋" w:cs="仿宋"/>
          <w:color w:val="000000"/>
          <w:sz w:val="28"/>
          <w:szCs w:val="28"/>
        </w:rPr>
        <w:t>考核小组定期对物管服务进行考核，编制物业管理工作考核表。</w:t>
      </w:r>
    </w:p>
    <w:p w14:paraId="3018FFAE">
      <w:pPr>
        <w:keepNext w:val="0"/>
        <w:keepLines w:val="0"/>
        <w:pageBreakBefore w:val="0"/>
        <w:widowControl w:val="0"/>
        <w:kinsoku/>
        <w:wordWrap/>
        <w:overflowPunct/>
        <w:topLinePunct w:val="0"/>
        <w:autoSpaceDE/>
        <w:autoSpaceDN/>
        <w:bidi w:val="0"/>
        <w:adjustRightInd/>
        <w:snapToGrid w:val="0"/>
        <w:spacing w:line="360" w:lineRule="atLeast"/>
        <w:ind w:firstLine="596" w:firstLineChars="213"/>
        <w:textAlignment w:val="auto"/>
        <w:rPr>
          <w:rStyle w:val="28"/>
          <w:rFonts w:hint="eastAsia" w:ascii="仿宋" w:hAnsi="仿宋" w:eastAsia="仿宋" w:cs="仿宋"/>
          <w:color w:val="000000"/>
          <w:sz w:val="28"/>
          <w:szCs w:val="28"/>
        </w:rPr>
      </w:pPr>
      <w:r>
        <w:rPr>
          <w:rStyle w:val="28"/>
          <w:rFonts w:hint="eastAsia" w:ascii="仿宋" w:hAnsi="仿宋" w:eastAsia="仿宋" w:cs="仿宋"/>
          <w:color w:val="000000"/>
          <w:sz w:val="28"/>
          <w:szCs w:val="28"/>
        </w:rPr>
        <w:t>二、考核的认定与评判</w:t>
      </w:r>
    </w:p>
    <w:p w14:paraId="6E8EC92C">
      <w:pPr>
        <w:keepNext w:val="0"/>
        <w:keepLines w:val="0"/>
        <w:pageBreakBefore w:val="0"/>
        <w:widowControl w:val="0"/>
        <w:kinsoku/>
        <w:wordWrap/>
        <w:overflowPunct/>
        <w:topLinePunct w:val="0"/>
        <w:autoSpaceDE/>
        <w:autoSpaceDN/>
        <w:bidi w:val="0"/>
        <w:adjustRightInd/>
        <w:snapToGrid w:val="0"/>
        <w:spacing w:line="360" w:lineRule="atLeast"/>
        <w:ind w:firstLine="596" w:firstLineChars="213"/>
        <w:textAlignment w:val="auto"/>
        <w:rPr>
          <w:rStyle w:val="28"/>
          <w:rFonts w:hint="eastAsia" w:ascii="仿宋" w:hAnsi="仿宋" w:eastAsia="仿宋" w:cs="仿宋"/>
          <w:color w:val="000000"/>
          <w:sz w:val="28"/>
          <w:szCs w:val="28"/>
        </w:rPr>
      </w:pPr>
      <w:r>
        <w:rPr>
          <w:rStyle w:val="28"/>
          <w:rFonts w:hint="eastAsia" w:ascii="仿宋" w:hAnsi="仿宋" w:eastAsia="仿宋" w:cs="仿宋"/>
          <w:color w:val="000000"/>
          <w:sz w:val="28"/>
          <w:szCs w:val="28"/>
        </w:rPr>
        <w:t>1、考核标准：综合得分90分及以上为合格；90分以下为不合格。（综合得分=保安（含消防）平均总得分*权重</w:t>
      </w:r>
      <w:r>
        <w:rPr>
          <w:rStyle w:val="28"/>
          <w:rFonts w:hint="eastAsia" w:ascii="仿宋" w:hAnsi="仿宋" w:eastAsia="仿宋" w:cs="仿宋"/>
          <w:color w:val="000000"/>
          <w:sz w:val="28"/>
          <w:szCs w:val="28"/>
          <w:lang w:val="en-US" w:eastAsia="zh-CN"/>
        </w:rPr>
        <w:t>30</w:t>
      </w:r>
      <w:r>
        <w:rPr>
          <w:rStyle w:val="28"/>
          <w:rFonts w:hint="eastAsia" w:ascii="仿宋" w:hAnsi="仿宋" w:eastAsia="仿宋" w:cs="仿宋"/>
          <w:color w:val="000000"/>
          <w:sz w:val="28"/>
          <w:szCs w:val="28"/>
        </w:rPr>
        <w:t>%+保洁平均总得分*权重</w:t>
      </w:r>
      <w:r>
        <w:rPr>
          <w:rStyle w:val="28"/>
          <w:rFonts w:hint="eastAsia" w:ascii="仿宋" w:hAnsi="仿宋" w:eastAsia="仿宋" w:cs="仿宋"/>
          <w:color w:val="000000"/>
          <w:sz w:val="28"/>
          <w:szCs w:val="28"/>
          <w:lang w:val="en-US" w:eastAsia="zh-CN"/>
        </w:rPr>
        <w:t>30</w:t>
      </w:r>
      <w:r>
        <w:rPr>
          <w:rStyle w:val="28"/>
          <w:rFonts w:hint="eastAsia" w:ascii="仿宋" w:hAnsi="仿宋" w:eastAsia="仿宋" w:cs="仿宋"/>
          <w:color w:val="000000"/>
          <w:sz w:val="28"/>
          <w:szCs w:val="28"/>
        </w:rPr>
        <w:t>%+物业管理服务综合平均总得分*权重</w:t>
      </w:r>
      <w:r>
        <w:rPr>
          <w:rStyle w:val="28"/>
          <w:rFonts w:hint="eastAsia" w:ascii="仿宋" w:hAnsi="仿宋" w:eastAsia="仿宋" w:cs="仿宋"/>
          <w:color w:val="000000"/>
          <w:sz w:val="28"/>
          <w:szCs w:val="28"/>
          <w:lang w:val="en-US" w:eastAsia="zh-CN"/>
        </w:rPr>
        <w:t>40</w:t>
      </w:r>
      <w:r>
        <w:rPr>
          <w:rStyle w:val="28"/>
          <w:rFonts w:hint="eastAsia" w:ascii="仿宋" w:hAnsi="仿宋" w:eastAsia="仿宋" w:cs="仿宋"/>
          <w:color w:val="000000"/>
          <w:sz w:val="28"/>
          <w:szCs w:val="28"/>
        </w:rPr>
        <w:t>%）</w:t>
      </w:r>
    </w:p>
    <w:p w14:paraId="63229D8A">
      <w:pPr>
        <w:keepNext w:val="0"/>
        <w:keepLines w:val="0"/>
        <w:pageBreakBefore w:val="0"/>
        <w:widowControl w:val="0"/>
        <w:kinsoku/>
        <w:wordWrap/>
        <w:overflowPunct/>
        <w:topLinePunct w:val="0"/>
        <w:autoSpaceDE/>
        <w:autoSpaceDN/>
        <w:bidi w:val="0"/>
        <w:adjustRightInd/>
        <w:snapToGrid w:val="0"/>
        <w:spacing w:line="360" w:lineRule="atLeast"/>
        <w:ind w:firstLine="596" w:firstLineChars="213"/>
        <w:textAlignment w:val="auto"/>
        <w:rPr>
          <w:rStyle w:val="28"/>
          <w:rFonts w:hint="eastAsia" w:ascii="仿宋" w:hAnsi="仿宋" w:eastAsia="仿宋" w:cs="仿宋"/>
          <w:color w:val="000000"/>
          <w:sz w:val="28"/>
          <w:szCs w:val="28"/>
        </w:rPr>
      </w:pPr>
      <w:r>
        <w:rPr>
          <w:rStyle w:val="28"/>
          <w:rFonts w:hint="eastAsia" w:ascii="仿宋" w:hAnsi="仿宋" w:eastAsia="仿宋" w:cs="仿宋"/>
          <w:color w:val="000000"/>
          <w:sz w:val="28"/>
          <w:szCs w:val="28"/>
        </w:rPr>
        <w:t>2、意见反馈：</w:t>
      </w:r>
      <w:r>
        <w:rPr>
          <w:rFonts w:hint="eastAsia" w:ascii="仿宋" w:hAnsi="仿宋" w:eastAsia="仿宋" w:cs="仿宋"/>
          <w:color w:val="000000"/>
          <w:sz w:val="28"/>
          <w:szCs w:val="28"/>
        </w:rPr>
        <w:t>甲方</w:t>
      </w:r>
      <w:r>
        <w:rPr>
          <w:rStyle w:val="28"/>
          <w:rFonts w:hint="eastAsia" w:ascii="仿宋" w:hAnsi="仿宋" w:eastAsia="仿宋" w:cs="仿宋"/>
          <w:color w:val="000000"/>
          <w:sz w:val="28"/>
          <w:szCs w:val="28"/>
        </w:rPr>
        <w:t>将考核结果三日内反馈乙方，乙方必须在一周内整改到位，考核不合格将按照合同约定中的条款进行处理，直至解除合同。</w:t>
      </w:r>
    </w:p>
    <w:p w14:paraId="2A897CBF">
      <w:pPr>
        <w:keepNext w:val="0"/>
        <w:keepLines w:val="0"/>
        <w:pageBreakBefore w:val="0"/>
        <w:widowControl w:val="0"/>
        <w:kinsoku/>
        <w:wordWrap/>
        <w:overflowPunct/>
        <w:topLinePunct w:val="0"/>
        <w:autoSpaceDE/>
        <w:autoSpaceDN/>
        <w:bidi w:val="0"/>
        <w:adjustRightInd/>
        <w:snapToGrid w:val="0"/>
        <w:spacing w:line="360" w:lineRule="atLeast"/>
        <w:ind w:firstLine="596" w:firstLineChars="213"/>
        <w:textAlignment w:val="auto"/>
        <w:rPr>
          <w:rStyle w:val="28"/>
          <w:rFonts w:hint="eastAsia" w:ascii="仿宋" w:hAnsi="仿宋" w:eastAsia="仿宋" w:cs="仿宋"/>
          <w:color w:val="000000"/>
          <w:sz w:val="28"/>
          <w:szCs w:val="28"/>
        </w:rPr>
      </w:pPr>
      <w:r>
        <w:rPr>
          <w:rStyle w:val="28"/>
          <w:rFonts w:hint="eastAsia" w:ascii="仿宋" w:hAnsi="仿宋" w:eastAsia="仿宋" w:cs="仿宋"/>
          <w:color w:val="000000"/>
          <w:sz w:val="28"/>
          <w:szCs w:val="28"/>
        </w:rPr>
        <w:t>三、考核奖惩</w:t>
      </w:r>
    </w:p>
    <w:p w14:paraId="0DD0074F">
      <w:pPr>
        <w:keepNext w:val="0"/>
        <w:keepLines w:val="0"/>
        <w:pageBreakBefore w:val="0"/>
        <w:widowControl w:val="0"/>
        <w:kinsoku/>
        <w:wordWrap/>
        <w:overflowPunct/>
        <w:topLinePunct w:val="0"/>
        <w:autoSpaceDE/>
        <w:autoSpaceDN/>
        <w:bidi w:val="0"/>
        <w:adjustRightInd/>
        <w:snapToGrid w:val="0"/>
        <w:spacing w:line="360" w:lineRule="atLeast"/>
        <w:ind w:firstLine="596" w:firstLineChars="213"/>
        <w:textAlignment w:val="auto"/>
        <w:rPr>
          <w:rStyle w:val="28"/>
          <w:rFonts w:hint="eastAsia" w:ascii="仿宋" w:hAnsi="仿宋" w:eastAsia="仿宋" w:cs="仿宋"/>
          <w:color w:val="000000"/>
          <w:sz w:val="28"/>
          <w:szCs w:val="28"/>
        </w:rPr>
      </w:pPr>
      <w:r>
        <w:rPr>
          <w:rFonts w:hint="eastAsia" w:ascii="仿宋" w:hAnsi="仿宋" w:eastAsia="仿宋" w:cs="仿宋"/>
          <w:color w:val="000000"/>
          <w:sz w:val="28"/>
          <w:szCs w:val="28"/>
        </w:rPr>
        <w:t>甲方</w:t>
      </w:r>
      <w:r>
        <w:rPr>
          <w:rStyle w:val="28"/>
          <w:rFonts w:hint="eastAsia" w:ascii="仿宋" w:hAnsi="仿宋" w:eastAsia="仿宋" w:cs="仿宋"/>
          <w:color w:val="000000"/>
          <w:sz w:val="28"/>
          <w:szCs w:val="28"/>
        </w:rPr>
        <w:t>将对乙方每月的物业服务进行考核，对考核办法中的每项进行考核打分。</w:t>
      </w:r>
    </w:p>
    <w:p w14:paraId="7399007F">
      <w:pPr>
        <w:keepNext w:val="0"/>
        <w:keepLines w:val="0"/>
        <w:pageBreakBefore w:val="0"/>
        <w:widowControl w:val="0"/>
        <w:kinsoku/>
        <w:wordWrap/>
        <w:overflowPunct/>
        <w:topLinePunct w:val="0"/>
        <w:autoSpaceDE/>
        <w:autoSpaceDN/>
        <w:bidi w:val="0"/>
        <w:adjustRightInd/>
        <w:snapToGrid w:val="0"/>
        <w:spacing w:line="360" w:lineRule="atLeast"/>
        <w:ind w:firstLine="596" w:firstLineChars="213"/>
        <w:textAlignment w:val="auto"/>
        <w:rPr>
          <w:rStyle w:val="28"/>
          <w:rFonts w:hint="eastAsia" w:ascii="仿宋" w:hAnsi="仿宋" w:eastAsia="仿宋" w:cs="仿宋"/>
          <w:color w:val="000000"/>
          <w:sz w:val="28"/>
          <w:szCs w:val="28"/>
        </w:rPr>
      </w:pPr>
      <w:r>
        <w:rPr>
          <w:rStyle w:val="28"/>
          <w:rFonts w:hint="eastAsia" w:ascii="仿宋" w:hAnsi="仿宋" w:eastAsia="仿宋" w:cs="仿宋"/>
          <w:color w:val="000000"/>
          <w:sz w:val="28"/>
          <w:szCs w:val="28"/>
        </w:rPr>
        <w:t>乙方每月考核综合得分低于90分的，每低1分将对乙方进行1000元的惩罚，从履约保证金或物业管理服务费中扣除并要求乙方整改。如一年中连续两个月考核不合格或累计三个月考核不合格，甲方有权终止合同，重新选择新的物业管理服务企业，一切责任由乙方承担。</w:t>
      </w:r>
    </w:p>
    <w:p w14:paraId="487743E7">
      <w:pPr>
        <w:rPr>
          <w:rFonts w:hint="eastAsia" w:ascii="仿宋" w:hAnsi="仿宋" w:eastAsia="仿宋" w:cs="仿宋"/>
          <w:color w:val="000000"/>
          <w:sz w:val="28"/>
          <w:szCs w:val="28"/>
        </w:rPr>
      </w:pPr>
      <w:r>
        <w:rPr>
          <w:rFonts w:hint="eastAsia" w:ascii="仿宋" w:hAnsi="仿宋" w:eastAsia="仿宋" w:cs="仿宋"/>
          <w:color w:val="000000"/>
          <w:sz w:val="28"/>
          <w:szCs w:val="28"/>
        </w:rPr>
        <w:br w:type="page"/>
      </w:r>
    </w:p>
    <w:p w14:paraId="47CE96F5">
      <w:pPr>
        <w:spacing w:line="440" w:lineRule="exact"/>
        <w:jc w:val="left"/>
        <w:rPr>
          <w:rFonts w:hint="eastAsia" w:ascii="仿宋" w:hAnsi="仿宋" w:eastAsia="仿宋" w:cs="仿宋"/>
          <w:color w:val="000000"/>
          <w:sz w:val="28"/>
          <w:szCs w:val="28"/>
        </w:rPr>
      </w:pPr>
      <w:r>
        <w:rPr>
          <w:rFonts w:hint="eastAsia" w:ascii="仿宋" w:hAnsi="仿宋" w:eastAsia="仿宋" w:cs="仿宋"/>
          <w:color w:val="000000"/>
          <w:sz w:val="28"/>
          <w:szCs w:val="28"/>
        </w:rPr>
        <w:t>附件2：物业服务安全协议</w:t>
      </w:r>
    </w:p>
    <w:p w14:paraId="287B752C">
      <w:pPr>
        <w:spacing w:line="440" w:lineRule="exact"/>
        <w:ind w:firstLine="320"/>
        <w:jc w:val="center"/>
        <w:rPr>
          <w:rFonts w:hint="eastAsia" w:ascii="仿宋" w:hAnsi="仿宋" w:eastAsia="仿宋" w:cs="仿宋"/>
          <w:color w:val="000000"/>
          <w:sz w:val="28"/>
          <w:szCs w:val="28"/>
        </w:rPr>
      </w:pPr>
      <w:r>
        <w:rPr>
          <w:rFonts w:hint="eastAsia" w:ascii="仿宋" w:hAnsi="仿宋" w:eastAsia="仿宋" w:cs="仿宋"/>
          <w:color w:val="000000"/>
          <w:sz w:val="28"/>
          <w:szCs w:val="28"/>
        </w:rPr>
        <w:t>物业服务安全协议</w:t>
      </w:r>
    </w:p>
    <w:p w14:paraId="176C05E0">
      <w:pPr>
        <w:pStyle w:val="15"/>
        <w:ind w:left="0" w:leftChars="0" w:firstLine="0" w:firstLineChars="0"/>
        <w:rPr>
          <w:rFonts w:hint="eastAsia" w:ascii="仿宋" w:hAnsi="仿宋" w:eastAsia="仿宋" w:cs="仿宋"/>
          <w:sz w:val="28"/>
          <w:szCs w:val="28"/>
        </w:rPr>
      </w:pPr>
    </w:p>
    <w:p w14:paraId="08509230">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甲方：</w:t>
      </w:r>
      <w:r>
        <w:rPr>
          <w:rFonts w:hint="eastAsia" w:ascii="仿宋" w:hAnsi="仿宋" w:eastAsia="仿宋" w:cs="仿宋"/>
          <w:color w:val="000000"/>
          <w:sz w:val="28"/>
          <w:szCs w:val="28"/>
          <w:u w:val="single"/>
          <w:lang w:eastAsia="zh-CN"/>
        </w:rPr>
        <w:t>盐城市盐都区龙冈镇卫生院</w:t>
      </w:r>
      <w:r>
        <w:rPr>
          <w:rFonts w:hint="eastAsia" w:ascii="仿宋" w:hAnsi="仿宋" w:eastAsia="仿宋" w:cs="仿宋"/>
          <w:color w:val="000000"/>
          <w:sz w:val="28"/>
          <w:szCs w:val="28"/>
        </w:rPr>
        <w:t>（以下简称甲方）</w:t>
      </w:r>
    </w:p>
    <w:p w14:paraId="1387473D">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乙方：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（以下简称乙方）</w:t>
      </w:r>
    </w:p>
    <w:p w14:paraId="6221C296">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根据《中华人民共和国经济合同法》及中华人民共和国国务院《物业管理条例》、江苏省相关管理条例及其实施细则等国家、地方有关物业管理法律、法规和政策。在平等、自愿、协商一致的基础上，就甲方委托乙方对实行专业化、企业化的物业安全管理订立本协议书。</w:t>
      </w:r>
    </w:p>
    <w:p w14:paraId="541C6616">
      <w:pPr>
        <w:spacing w:line="360" w:lineRule="auto"/>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一、服务范围</w:t>
      </w:r>
    </w:p>
    <w:p w14:paraId="7BD63C75">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盐城市盐都区龙冈镇卫生院</w:t>
      </w:r>
      <w:r>
        <w:rPr>
          <w:rFonts w:hint="eastAsia" w:ascii="仿宋" w:hAnsi="仿宋" w:eastAsia="仿宋" w:cs="仿宋"/>
          <w:color w:val="000000"/>
          <w:sz w:val="28"/>
          <w:szCs w:val="28"/>
        </w:rPr>
        <w:t>物业管理服务项目，服务工作内容范围包括全院消防巡查、消防监控系统管理及值班，医院工作生活区域治安管理、秩序维护（包含停车场管理）和治安值班室内值班；所有病床的被褥、床单、医护人员工作服</w:t>
      </w:r>
      <w:r>
        <w:rPr>
          <w:rFonts w:hint="eastAsia" w:ascii="仿宋" w:hAnsi="仿宋" w:eastAsia="仿宋" w:cs="仿宋"/>
          <w:color w:val="000000"/>
          <w:sz w:val="28"/>
          <w:szCs w:val="28"/>
          <w:lang w:val="en-US" w:eastAsia="zh-CN"/>
        </w:rPr>
        <w:t>管理</w:t>
      </w:r>
      <w:r>
        <w:rPr>
          <w:rFonts w:hint="eastAsia" w:ascii="仿宋" w:hAnsi="仿宋" w:eastAsia="仿宋" w:cs="仿宋"/>
          <w:color w:val="000000"/>
          <w:sz w:val="28"/>
          <w:szCs w:val="28"/>
        </w:rPr>
        <w:t>；医疗工作生活区域保洁服务，医院室内外、门前卫生、电梯内清洁，门诊区域和病区部分屋面垃圾清理，垃圾分类管理；全院内花卉、苗木、草坪的裁剪、施肥、除虫、除草工作；以及采购人委托的其它事项等。甲方保留对服务内容进行适当调整的权利。</w:t>
      </w:r>
    </w:p>
    <w:p w14:paraId="3C30276D">
      <w:pPr>
        <w:spacing w:line="360" w:lineRule="auto"/>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二、合同期限</w:t>
      </w:r>
    </w:p>
    <w:p w14:paraId="1B97C4D6">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本合同期限为</w:t>
      </w:r>
      <w:r>
        <w:rPr>
          <w:rFonts w:hint="eastAsia" w:ascii="仿宋" w:hAnsi="仿宋" w:eastAsia="仿宋" w:cs="仿宋"/>
          <w:color w:val="000000"/>
          <w:sz w:val="28"/>
          <w:szCs w:val="28"/>
          <w:u w:val="single"/>
        </w:rPr>
        <w:t xml:space="preserve"> 一 </w:t>
      </w:r>
      <w:r>
        <w:rPr>
          <w:rFonts w:hint="eastAsia" w:ascii="仿宋" w:hAnsi="仿宋" w:eastAsia="仿宋" w:cs="仿宋"/>
          <w:color w:val="000000"/>
          <w:sz w:val="28"/>
          <w:szCs w:val="28"/>
        </w:rPr>
        <w:t>年，自</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日起至</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日止。</w:t>
      </w:r>
    </w:p>
    <w:p w14:paraId="04CD0EDA">
      <w:pPr>
        <w:spacing w:line="360" w:lineRule="auto"/>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三、甲方权力及安全责任</w:t>
      </w:r>
    </w:p>
    <w:p w14:paraId="7A47008C">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1、与乙方议定年度管理计划、费用概预算、决算报告。</w:t>
      </w:r>
    </w:p>
    <w:p w14:paraId="1F0412B2">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2、对乙方的管理实施监督检查，每月全面进行一次考核评定，如因乙方管理不善，造成重大经济损失或管理失误，有权终止合同。</w:t>
      </w:r>
    </w:p>
    <w:p w14:paraId="1C9F25C4">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3、甲方有权对乙方的安全管理工作及质量进行监督，若发现问题及时告知乙方，并有权要求乙方改善，直到达到甲方标准。</w:t>
      </w:r>
    </w:p>
    <w:p w14:paraId="538FF1DE">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4、甲方有权监督乙方员工的工作，甲方不认可的乙方员工，可以要求乙方随时更换，由此产生的责任甲方可要求进行赔偿。</w:t>
      </w:r>
    </w:p>
    <w:p w14:paraId="409821A5">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5、甲方应向乙方提供要求所需的非管理有关资料，支持乙方工作。</w:t>
      </w:r>
    </w:p>
    <w:p w14:paraId="480DFEB6">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6、甲方依据实际情况向乙方无偿提供安全有效的取水、用电资源。</w:t>
      </w:r>
    </w:p>
    <w:p w14:paraId="4A2230E8">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7、甲方有义务教育乙方员工遵守现场安全管理要求，服从有关管理，共同安全环境。</w:t>
      </w:r>
    </w:p>
    <w:p w14:paraId="268BB8CF">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8、甲方允许乙方使用乙方公司的工作证件在甲方项目现场配戴使用。</w:t>
      </w:r>
    </w:p>
    <w:p w14:paraId="42ADFC61">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9、法规政策规定由甲方承担的其他责任。</w:t>
      </w:r>
    </w:p>
    <w:p w14:paraId="2077C223">
      <w:pPr>
        <w:spacing w:line="360" w:lineRule="auto"/>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四、乙方权力及安全责任</w:t>
      </w:r>
    </w:p>
    <w:p w14:paraId="0290841A">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1、根据有关法律、法规政策及本合同的规定，制订该物业的各项管理办法、规章制度、实施细则，自主开展各项安全管理活动，但不得损害甲方的合法权益。乙方制订安全管理的各项管理办法、规章制度、实施细则等制度条文严格实施。遵照国家、地方物业管理服务规定,按物业管理的服务项目、服务内容、服务深度，严格按合同规定的收费标准收取，不得擅自加价，不得只收费不服务或多收费少服务。</w:t>
      </w:r>
    </w:p>
    <w:p w14:paraId="55C306F5">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2、未经甲方书面同意，乙方不得将本合约议定项目直接或者间接方式转包或者分包给第三方及其他个人。</w:t>
      </w:r>
    </w:p>
    <w:p w14:paraId="43EFA98E">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3、接受主管部门及有关部门的监督、指导，并接受甲方的监督。</w:t>
      </w:r>
    </w:p>
    <w:p w14:paraId="69EE0393">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4、乙方有义务按照本协议书约定的工作范围和执行标准，遵照甲方规定时限，保质保量完成工作任务。</w:t>
      </w:r>
    </w:p>
    <w:p w14:paraId="206C836C">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5、乙方保证有安全管理队伍负责承揽的安全管理工作项目（包含管理人员、轮换休假人员），在必须保证甲方提出的安全管理任务。乙方须向甲方提供有关《人员编制表》、《岗位责任制度》及其他管理制度。</w:t>
      </w:r>
    </w:p>
    <w:p w14:paraId="492B1459">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6、乙方有责任按照本协议书约定工作内容提供必要的人力和安全管理需要的装备。</w:t>
      </w:r>
    </w:p>
    <w:p w14:paraId="33603795">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7、乙方必须协助做好物业管理区域内的安全防范工作。发生安全事故时，乙方在采取应急措施的同时，应当及时向有关行政管理部门报告，协助做好救助工作。</w:t>
      </w:r>
    </w:p>
    <w:p w14:paraId="00224246">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8、乙方有义务接受甲方的工作监督和检查。乙方所有员工禁止在甲方范围内吸烟、打牌及赌博。</w:t>
      </w:r>
    </w:p>
    <w:p w14:paraId="71CE9411">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9、乙方员工在工作期间,若因乙方管理的过失造成的甲方人员伤亡、财产损失和乙方人员伤亡、财产损失均由乙方负责。</w:t>
      </w:r>
    </w:p>
    <w:p w14:paraId="26C0F5B0">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10、乙方员工在做好安全管理服务的同时，必须遵守甲方有关的管理制度，配合维护好甲方的整体形象。</w:t>
      </w:r>
    </w:p>
    <w:p w14:paraId="68DFED6B">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11、建立本物业的物业管理档案并负责及时记载有关变更情况。</w:t>
      </w:r>
    </w:p>
    <w:p w14:paraId="2752B28D">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12、乙方需按照有关劳动法规，为员工办理有关劳动雇佣手续和劳动保障手续及相关劳动保险。</w:t>
      </w:r>
    </w:p>
    <w:p w14:paraId="7095F3F5">
      <w:pPr>
        <w:spacing w:line="360" w:lineRule="auto"/>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五、违约责任</w:t>
      </w:r>
    </w:p>
    <w:p w14:paraId="4FD2E909">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1、如乙方违反安全生产规定，造成甲方未完成规定管理目标或直接造成甲方经济损失的，乙方应给予甲方全额赔偿。甲方有权要求乙方限期整改，如在限期内不整改的，超时一天罚款1000元，并且甲方有权终止合同。</w:t>
      </w:r>
    </w:p>
    <w:p w14:paraId="66F378BE">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2、因乙方管理不善或宣布或者被地方法院判定破产，本合同自动终止，双方不承担对方任何经济纠纷。</w:t>
      </w:r>
    </w:p>
    <w:p w14:paraId="75663C70">
      <w:pPr>
        <w:spacing w:line="360" w:lineRule="auto"/>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六、工作联系和保密制度</w:t>
      </w:r>
    </w:p>
    <w:p w14:paraId="6DBBCDED">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1、甲、乙双方应建立工作联系制度，相互通报管理组织架构，定期召开工作联系会议,洽商和协调处理有关安全管理工作。</w:t>
      </w:r>
    </w:p>
    <w:p w14:paraId="3454AE32">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2、乙方派驻管理人员变更应提前1个月以书面形式告知对方，并确认相关派驻管理人员紧急联络方式。</w:t>
      </w:r>
    </w:p>
    <w:p w14:paraId="37B37CC7">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3、甲、乙双方工作衔接均以书面形式进行，并由双方全权派驻代表签署意见。</w:t>
      </w:r>
    </w:p>
    <w:p w14:paraId="3A085B88">
      <w:pPr>
        <w:spacing w:line="360" w:lineRule="auto"/>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七、其他事项</w:t>
      </w:r>
    </w:p>
    <w:p w14:paraId="6B5E36CE">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1、双方可对本合同的条款进行修订更改或补充，以书面签订补充协议，补充协议与本合同具有同等效力。</w:t>
      </w:r>
    </w:p>
    <w:p w14:paraId="29426260">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2、合同规定的管理期满，本合同自然终止。</w:t>
      </w:r>
      <w:r>
        <w:rPr>
          <w:rFonts w:hint="eastAsia" w:ascii="仿宋" w:hAnsi="仿宋" w:eastAsia="仿宋" w:cs="仿宋"/>
          <w:color w:val="000000"/>
          <w:sz w:val="28"/>
          <w:szCs w:val="28"/>
          <w:lang w:val="zh-CN"/>
        </w:rPr>
        <w:t>合同期满后根据合同履行情况不再进行续聘或重新选聘物业服务企业，退出本物业管理时必须向甲方移交全套档案资料等，经甲方验收合格，并完成与后续物业服务企业的衔接后，方可退出，同时无息退还履约保证金余额。合同提前终止或期满退出的，15日内必须与甲方及后续物业管理企业完成交接、衔接工作</w:t>
      </w:r>
      <w:r>
        <w:rPr>
          <w:rFonts w:hint="eastAsia" w:ascii="仿宋" w:hAnsi="仿宋" w:eastAsia="仿宋" w:cs="仿宋"/>
          <w:color w:val="000000"/>
          <w:sz w:val="28"/>
          <w:szCs w:val="28"/>
        </w:rPr>
        <w:t>。</w:t>
      </w:r>
    </w:p>
    <w:p w14:paraId="1714F9F4">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3、本合同执行期间，如遇不可抗力,致使合同无法履行时，双方均不承担违约责任并按有关法规政策规定及时协商处理。</w:t>
      </w:r>
    </w:p>
    <w:p w14:paraId="7083784E">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4、在履行合同中发生纠纷，双方应协商解决。协商不成时，双方均有权向甲方所在地人民法院提起诉讼，因此而产生的包括但不限于诉讼费、律师费、保全申请费、保全保险费用、交通费等均由败诉方承担。除诉争事项外，合同中的其他内容仍需履行。</w:t>
      </w:r>
    </w:p>
    <w:p w14:paraId="54D99263">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5、本合同一式</w:t>
      </w:r>
      <w:r>
        <w:rPr>
          <w:rFonts w:hint="eastAsia" w:ascii="仿宋" w:hAnsi="仿宋" w:eastAsia="仿宋" w:cs="仿宋"/>
          <w:color w:val="000000"/>
          <w:sz w:val="28"/>
          <w:szCs w:val="28"/>
          <w:u w:val="single"/>
        </w:rPr>
        <w:t xml:space="preserve"> 四 </w:t>
      </w:r>
      <w:r>
        <w:rPr>
          <w:rFonts w:hint="eastAsia" w:ascii="仿宋" w:hAnsi="仿宋" w:eastAsia="仿宋" w:cs="仿宋"/>
          <w:color w:val="000000"/>
          <w:sz w:val="28"/>
          <w:szCs w:val="28"/>
        </w:rPr>
        <w:t>份，甲方两份，乙方两份。</w:t>
      </w:r>
    </w:p>
    <w:p w14:paraId="007BF97E">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6、本合同自签订之日起生效。</w:t>
      </w:r>
    </w:p>
    <w:p w14:paraId="5CB6EA32">
      <w:pPr>
        <w:spacing w:line="360" w:lineRule="auto"/>
        <w:ind w:firstLine="210"/>
        <w:rPr>
          <w:rFonts w:hint="eastAsia" w:ascii="仿宋" w:hAnsi="仿宋" w:eastAsia="仿宋" w:cs="仿宋"/>
          <w:color w:val="000000"/>
          <w:sz w:val="28"/>
          <w:szCs w:val="28"/>
        </w:rPr>
      </w:pPr>
    </w:p>
    <w:p w14:paraId="3FA6052D">
      <w:pPr>
        <w:spacing w:line="360" w:lineRule="auto"/>
        <w:ind w:firstLine="21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甲方（盖章）：                    乙方（盖章）:     </w:t>
      </w:r>
    </w:p>
    <w:p w14:paraId="11277140">
      <w:pPr>
        <w:spacing w:line="360" w:lineRule="auto"/>
        <w:ind w:firstLine="210"/>
        <w:rPr>
          <w:rFonts w:hint="eastAsia" w:ascii="仿宋" w:hAnsi="仿宋" w:eastAsia="仿宋" w:cs="仿宋"/>
          <w:color w:val="000000"/>
          <w:sz w:val="28"/>
          <w:szCs w:val="28"/>
        </w:rPr>
      </w:pPr>
      <w:r>
        <w:rPr>
          <w:rFonts w:hint="eastAsia" w:ascii="仿宋" w:hAnsi="仿宋" w:eastAsia="仿宋" w:cs="仿宋"/>
          <w:color w:val="000000"/>
          <w:sz w:val="28"/>
          <w:szCs w:val="28"/>
        </w:rPr>
        <w:t>法定代表人（签章）：              法定代表人（签章）：</w:t>
      </w:r>
    </w:p>
    <w:p w14:paraId="126301E5">
      <w:pPr>
        <w:spacing w:line="360" w:lineRule="auto"/>
        <w:ind w:firstLine="210"/>
        <w:rPr>
          <w:rFonts w:hint="eastAsia" w:ascii="仿宋" w:hAnsi="仿宋" w:eastAsia="仿宋" w:cs="仿宋"/>
          <w:color w:val="000000"/>
          <w:sz w:val="28"/>
          <w:szCs w:val="28"/>
        </w:rPr>
      </w:pPr>
      <w:r>
        <w:rPr>
          <w:rFonts w:hint="eastAsia" w:ascii="仿宋" w:hAnsi="仿宋" w:eastAsia="仿宋" w:cs="仿宋"/>
          <w:color w:val="000000"/>
          <w:sz w:val="28"/>
          <w:szCs w:val="28"/>
        </w:rPr>
        <w:t>签订合同代表（签字）：            签订合同代表（签字）：</w:t>
      </w:r>
    </w:p>
    <w:p w14:paraId="29F6C654">
      <w:pPr>
        <w:spacing w:line="360" w:lineRule="auto"/>
        <w:ind w:firstLine="210"/>
        <w:rPr>
          <w:rFonts w:hint="eastAsia" w:ascii="仿宋" w:hAnsi="仿宋" w:eastAsia="仿宋" w:cs="仿宋"/>
          <w:color w:val="000000"/>
          <w:sz w:val="28"/>
          <w:szCs w:val="28"/>
        </w:rPr>
      </w:pPr>
      <w:r>
        <w:rPr>
          <w:rFonts w:hint="eastAsia" w:ascii="仿宋" w:hAnsi="仿宋" w:eastAsia="仿宋" w:cs="仿宋"/>
          <w:color w:val="000000"/>
          <w:sz w:val="28"/>
          <w:szCs w:val="28"/>
        </w:rPr>
        <w:t>联系人：                          联系人：</w:t>
      </w:r>
    </w:p>
    <w:p w14:paraId="43A75332">
      <w:pPr>
        <w:spacing w:line="360" w:lineRule="auto"/>
        <w:ind w:firstLine="210"/>
        <w:rPr>
          <w:rFonts w:hint="eastAsia" w:ascii="仿宋" w:hAnsi="仿宋" w:eastAsia="仿宋" w:cs="仿宋"/>
          <w:color w:val="000000"/>
          <w:sz w:val="28"/>
          <w:szCs w:val="28"/>
        </w:rPr>
      </w:pPr>
      <w:r>
        <w:rPr>
          <w:rFonts w:hint="eastAsia" w:ascii="仿宋" w:hAnsi="仿宋" w:eastAsia="仿宋" w:cs="仿宋"/>
          <w:color w:val="000000"/>
          <w:sz w:val="28"/>
          <w:szCs w:val="28"/>
        </w:rPr>
        <w:t>单位地址：                        单位地址：</w:t>
      </w:r>
    </w:p>
    <w:p w14:paraId="07BF206F">
      <w:pPr>
        <w:spacing w:line="360" w:lineRule="auto"/>
        <w:ind w:firstLine="210"/>
        <w:rPr>
          <w:rFonts w:hint="eastAsia" w:ascii="仿宋" w:hAnsi="仿宋" w:eastAsia="仿宋" w:cs="仿宋"/>
          <w:color w:val="000000"/>
          <w:sz w:val="28"/>
          <w:szCs w:val="28"/>
        </w:rPr>
      </w:pPr>
      <w:r>
        <w:rPr>
          <w:rFonts w:hint="eastAsia" w:ascii="仿宋" w:hAnsi="仿宋" w:eastAsia="仿宋" w:cs="仿宋"/>
          <w:color w:val="000000"/>
          <w:sz w:val="28"/>
          <w:szCs w:val="28"/>
        </w:rPr>
        <w:t>电话号码：                        电话号码：</w:t>
      </w:r>
    </w:p>
    <w:p w14:paraId="196EA3A9">
      <w:pPr>
        <w:spacing w:line="360" w:lineRule="auto"/>
        <w:ind w:firstLine="210"/>
        <w:rPr>
          <w:rFonts w:hint="eastAsia" w:ascii="仿宋" w:hAnsi="仿宋" w:eastAsia="仿宋" w:cs="仿宋"/>
          <w:color w:val="000000"/>
          <w:sz w:val="28"/>
          <w:szCs w:val="28"/>
        </w:rPr>
      </w:pPr>
      <w:r>
        <w:rPr>
          <w:rFonts w:hint="eastAsia" w:ascii="仿宋" w:hAnsi="仿宋" w:eastAsia="仿宋" w:cs="仿宋"/>
          <w:color w:val="000000"/>
          <w:sz w:val="28"/>
          <w:szCs w:val="28"/>
        </w:rPr>
        <w:t>签订日期：                        签订日期：</w:t>
      </w:r>
    </w:p>
    <w:p w14:paraId="13E1F227">
      <w:pPr>
        <w:spacing w:line="360" w:lineRule="auto"/>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64399B55">
      <w:pPr>
        <w:pStyle w:val="13"/>
        <w:spacing w:before="120" w:beforeAutospacing="0" w:after="120" w:afterAutospacing="0" w:line="0" w:lineRule="atLeast"/>
        <w:jc w:val="center"/>
        <w:rPr>
          <w:color w:val="auto"/>
          <w:highlight w:val="none"/>
        </w:rPr>
      </w:pPr>
      <w:r>
        <w:rPr>
          <w:rFonts w:hint="eastAsia" w:ascii="黑体" w:hAnsi="宋体" w:eastAsia="黑体" w:cs="黑体"/>
          <w:color w:val="auto"/>
          <w:sz w:val="44"/>
          <w:szCs w:val="44"/>
          <w:highlight w:val="none"/>
        </w:rPr>
        <w:t>第</w:t>
      </w:r>
      <w:bookmarkEnd w:id="178"/>
      <w:r>
        <w:rPr>
          <w:rFonts w:hint="eastAsia" w:ascii="黑体" w:hAnsi="宋体" w:eastAsia="黑体" w:cs="黑体"/>
          <w:color w:val="auto"/>
          <w:sz w:val="44"/>
          <w:szCs w:val="44"/>
          <w:highlight w:val="none"/>
        </w:rPr>
        <w:t>四章 采购需求</w:t>
      </w:r>
      <w:bookmarkEnd w:id="179"/>
      <w:bookmarkEnd w:id="180"/>
      <w:bookmarkEnd w:id="181"/>
      <w:bookmarkEnd w:id="182"/>
      <w:bookmarkEnd w:id="183"/>
    </w:p>
    <w:p w14:paraId="501B4BF3">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bookmarkStart w:id="185" w:name="_Toc49090575"/>
      <w:bookmarkStart w:id="186" w:name="_Toc26554093"/>
      <w:bookmarkStart w:id="187" w:name="_Toc120614281"/>
      <w:r>
        <w:rPr>
          <w:rFonts w:hint="eastAsia" w:ascii="仿宋" w:hAnsi="仿宋" w:eastAsia="仿宋" w:cs="仿宋"/>
          <w:color w:val="auto"/>
          <w:sz w:val="28"/>
          <w:szCs w:val="28"/>
          <w:highlight w:val="none"/>
        </w:rPr>
        <w:t>项目属性:服务类项目。</w:t>
      </w:r>
      <w:bookmarkEnd w:id="185"/>
      <w:bookmarkEnd w:id="186"/>
    </w:p>
    <w:p w14:paraId="2A61F6CC">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本次采购包括</w:t>
      </w:r>
      <w:r>
        <w:rPr>
          <w:rFonts w:hint="eastAsia" w:ascii="仿宋" w:hAnsi="仿宋" w:eastAsia="仿宋" w:cs="仿宋"/>
          <w:color w:val="auto"/>
          <w:sz w:val="28"/>
          <w:szCs w:val="28"/>
          <w:highlight w:val="none"/>
          <w:lang w:val="en-US" w:eastAsia="zh-CN"/>
        </w:rPr>
        <w:t>盐城市盐都区龙冈镇卫生院2025年-2026年物业服务项目</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服务期</w:t>
      </w:r>
      <w:r>
        <w:rPr>
          <w:rFonts w:hint="eastAsia" w:ascii="仿宋" w:hAnsi="仿宋" w:eastAsia="仿宋" w:cs="仿宋"/>
          <w:color w:val="auto"/>
          <w:sz w:val="28"/>
          <w:szCs w:val="28"/>
          <w:highlight w:val="none"/>
        </w:rPr>
        <w:t>为</w:t>
      </w:r>
      <w:r>
        <w:rPr>
          <w:rFonts w:hint="eastAsia" w:ascii="仿宋" w:hAnsi="仿宋" w:eastAsia="仿宋" w:cs="仿宋"/>
          <w:color w:val="auto"/>
          <w:sz w:val="28"/>
          <w:szCs w:val="28"/>
          <w:highlight w:val="none"/>
          <w:lang w:val="en-US" w:eastAsia="zh-CN"/>
        </w:rPr>
        <w:t>一年</w:t>
      </w:r>
      <w:r>
        <w:rPr>
          <w:rFonts w:hint="eastAsia" w:ascii="仿宋" w:hAnsi="仿宋" w:eastAsia="仿宋" w:cs="仿宋"/>
          <w:color w:val="auto"/>
          <w:sz w:val="28"/>
          <w:szCs w:val="28"/>
          <w:highlight w:val="none"/>
        </w:rPr>
        <w:t>。</w:t>
      </w:r>
    </w:p>
    <w:p w14:paraId="29E45361">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2" w:firstLineChars="200"/>
        <w:jc w:val="both"/>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一、服务设备要求</w:t>
      </w:r>
    </w:p>
    <w:p w14:paraId="5310C810">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所有清洗、保洁用品、器具</w:t>
      </w:r>
      <w:r>
        <w:rPr>
          <w:rFonts w:hint="eastAsia" w:ascii="仿宋" w:hAnsi="仿宋" w:eastAsia="仿宋" w:cs="仿宋"/>
          <w:color w:val="auto"/>
          <w:sz w:val="28"/>
          <w:szCs w:val="28"/>
          <w:highlight w:val="none"/>
          <w:lang w:eastAsia="zh-CN"/>
        </w:rPr>
        <w:t>（扫把、簸箕等）</w:t>
      </w:r>
      <w:r>
        <w:rPr>
          <w:rFonts w:hint="eastAsia" w:ascii="仿宋" w:hAnsi="仿宋" w:eastAsia="仿宋" w:cs="仿宋"/>
          <w:color w:val="auto"/>
          <w:sz w:val="28"/>
          <w:szCs w:val="28"/>
          <w:highlight w:val="none"/>
        </w:rPr>
        <w:t>等与保洁有关的用具均由中标人自行承担</w:t>
      </w:r>
      <w:r>
        <w:rPr>
          <w:rFonts w:hint="eastAsia" w:ascii="仿宋" w:hAnsi="仿宋" w:eastAsia="仿宋" w:cs="仿宋"/>
          <w:color w:val="auto"/>
          <w:sz w:val="28"/>
          <w:szCs w:val="28"/>
          <w:highlight w:val="none"/>
          <w:lang w:eastAsia="zh-CN"/>
        </w:rPr>
        <w:t>（其中洗涤间清洗、消毒用品由甲方提供）</w:t>
      </w:r>
      <w:r>
        <w:rPr>
          <w:rFonts w:hint="eastAsia" w:ascii="仿宋" w:hAnsi="仿宋" w:eastAsia="仿宋" w:cs="仿宋"/>
          <w:color w:val="auto"/>
          <w:sz w:val="28"/>
          <w:szCs w:val="28"/>
          <w:highlight w:val="none"/>
        </w:rPr>
        <w:t>。</w:t>
      </w:r>
    </w:p>
    <w:p w14:paraId="0106CBED">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2" w:firstLineChars="200"/>
        <w:jc w:val="both"/>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二、卫生院物业管理服务总体要求</w:t>
      </w:r>
    </w:p>
    <w:p w14:paraId="558F5326">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1、树立正确的经营理念，紧紧围绕卫生院的工作目标做好卫生院的物业服务工作，努力创造出更多更好的社会效益。</w:t>
      </w:r>
    </w:p>
    <w:p w14:paraId="442EEDB3">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2、投标人在实施本项目经营管理时须符合国家相关的政策法规，无条件执行国家、地方政府、行业协会最新的标准和条例。</w:t>
      </w:r>
    </w:p>
    <w:p w14:paraId="6652C439">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3.投标人驻卫生院的管理处必须完全服从卫生院发展策略的要求，适应院方管理体制和制度的变化。</w:t>
      </w:r>
    </w:p>
    <w:p w14:paraId="4B0A810D">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卫生院物业服务质量总体上应达到“及时、到位、可靠、保证和满意”的效果，在质量控制方面须符合院方制定的卫生、院感等质控标准，符合国家、省、市、区等各级组织进行的检查标准，符合卫生院有关部门和科室的工作时间和工作要求。</w:t>
      </w:r>
    </w:p>
    <w:p w14:paraId="773BA935">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5、卫生院对投标人组建的管理机构进行业务归口管理。投标人要围绕卫生院物业服务制定各种管理制度（包括奖惩制度）、管理方案、操作规程及其他有关规定，并报院方审定备案后方可实施。</w:t>
      </w:r>
    </w:p>
    <w:p w14:paraId="3DF6F2F0">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6、在处理特殊事件和紧急、突发事故时，卫生院对投标人的人员有直接指挥权。</w:t>
      </w:r>
    </w:p>
    <w:p w14:paraId="448B978D">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7、由投标人自行提供物业服务所需工具及消耗用品等，并由投标人按劳动法的有关规定支付工作人员的工资、福利及社保待遇等。</w:t>
      </w:r>
    </w:p>
    <w:p w14:paraId="32809E62">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8、投标人围绕卫生院物业服务所聘用的工作人员必须身体健康、遵纪守法、无刑事犯罪记录、无不良行为倾向，在上岗前必须进行安全教育和岗位相关的业务技能培训。</w:t>
      </w:r>
    </w:p>
    <w:p w14:paraId="4E3A52E5">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9、服务单位在做好本职工作的同时，有责任向卫生院提供合理化建议，以提高管理效益和管理质量。</w:t>
      </w:r>
    </w:p>
    <w:p w14:paraId="274D0E8F">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2" w:firstLineChars="200"/>
        <w:jc w:val="both"/>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三、物业服务内容及基本要求</w:t>
      </w:r>
    </w:p>
    <w:p w14:paraId="5DE8B4B8">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（一）保洁</w:t>
      </w:r>
    </w:p>
    <w:p w14:paraId="3F9B289F">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1．公共区域清洁保洁工作质量要求与标准</w:t>
      </w:r>
    </w:p>
    <w:p w14:paraId="1B7EE1B1">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(1)地面保持干净,做到无任何垃圾、污物、痰液等,非雨天时保持干爽。门、急诊大厅除每天重点清理外，中间实行流动保洁；保洁做到不留死角，对门窗框、消防栓柜、指示牌等要及时擦抹。</w:t>
      </w:r>
    </w:p>
    <w:p w14:paraId="0785BF40">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(2)地面有废弃杂物要及时保洁、清理。</w:t>
      </w:r>
    </w:p>
    <w:p w14:paraId="5E858AE1">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(3)地面有血渍、污液时及时清洗并按消毒规范进行消毒处理。</w:t>
      </w:r>
    </w:p>
    <w:p w14:paraId="4A971339">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(4)垃圾袋装化，随满随换并运送至指定垃圾堆放处，周围无不雅、异味,消毒规范。</w:t>
      </w:r>
    </w:p>
    <w:p w14:paraId="666EE2C5">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(5)出水渠口保持畅通。</w:t>
      </w:r>
    </w:p>
    <w:p w14:paraId="3E0CDBF3">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(6)地面及附设物无明显青苔、杂草。</w:t>
      </w:r>
    </w:p>
    <w:p w14:paraId="41BE7739">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(7)各类标识、墙壁有不当广告、张贴物时要及时清理并不留污痕。</w:t>
      </w:r>
    </w:p>
    <w:p w14:paraId="0A579546">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(8)清扫、清洗地面及公共附设物时不过分扬尘、无过分噪声。</w:t>
      </w:r>
    </w:p>
    <w:p w14:paraId="541A3532">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)冬季积雪的清除、灾害性天气应及时关闭保洁区域内的门和窗，确保财产安全、及时清除积水、保证正常医疗工作。</w:t>
      </w:r>
    </w:p>
    <w:p w14:paraId="7276B8BC">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2.建筑物内部物体清洁保洁工作质量要求与标准:</w:t>
      </w:r>
    </w:p>
    <w:p w14:paraId="62A79795">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(1)地面:保持干净,无垃圾、污垢、痰液、青苔等。</w:t>
      </w:r>
    </w:p>
    <w:p w14:paraId="6E1AFB2E">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(2)墙壁:3米以下手摸无明显灰尘、污迹、无青苔,不当张贴及时清理。</w:t>
      </w:r>
    </w:p>
    <w:p w14:paraId="459BD0AB">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(3)大厅及走廊:保持干净,无垃圾、污垢、痰液、青苔、杂物及时清理。</w:t>
      </w:r>
    </w:p>
    <w:p w14:paraId="251BCE66">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(4)楼梯:保持干净、无垃圾、污垢、痰液等。</w:t>
      </w:r>
    </w:p>
    <w:p w14:paraId="2DCF6F81">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(5)栏杆:保持干净、光亮,无水迹,手摸无明显灰尘。</w:t>
      </w:r>
    </w:p>
    <w:p w14:paraId="625351FC">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(6)电梯:保持干净、光亮,无污迹,手摸无尘迹。</w:t>
      </w:r>
    </w:p>
    <w:p w14:paraId="319773AA">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(7)天花板:眼望无蛛网、无尘迹。</w:t>
      </w:r>
    </w:p>
    <w:p w14:paraId="194894D2">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(8)天台:保持干净,无水迹(雨天除外),无垃圾、污垢、青苔,杂物及时清理。</w:t>
      </w:r>
    </w:p>
    <w:p w14:paraId="68287306">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(9)门窗:保持干净、光亮,手摸无尘迹。</w:t>
      </w:r>
    </w:p>
    <w:p w14:paraId="257FD8B5">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(10)台、椅、柜:保持洁净,无垃圾,手摸无尘迹,并按规范消毒。</w:t>
      </w:r>
    </w:p>
    <w:p w14:paraId="77700EC8">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(11)垃圾箱:按规定及时清倒,表面干净无污渍,按规范消毒。</w:t>
      </w:r>
    </w:p>
    <w:p w14:paraId="125CC787">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(12)开水间、洗手盆、污物池:无污垢、表面不堵塞,按规范消毒。</w:t>
      </w:r>
    </w:p>
    <w:p w14:paraId="70F8F881">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(13)公共保洁区域的空调、电扇、灯具:眼望无尘迹,清洁时注意工作安全。三米以上高空作业另行商定。</w:t>
      </w:r>
    </w:p>
    <w:p w14:paraId="637D16D2">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(14)标识:保持干净,无不当张贴物。</w:t>
      </w:r>
    </w:p>
    <w:p w14:paraId="4D2BE97F">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(15)出水渠口:保持畅通,渠道、渠口的杂物及时清理。管道、管网的疏通另行商定。</w:t>
      </w:r>
    </w:p>
    <w:p w14:paraId="047EE0E4">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(16)保洁区域内的各类物体按规范进行消毒。</w:t>
      </w:r>
    </w:p>
    <w:p w14:paraId="506E0E18">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(17)库房：按病区管理要求对物品有序整理，并处于备用状态。</w:t>
      </w:r>
    </w:p>
    <w:p w14:paraId="0AAE2F02">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)窗帘每年4、10月各集中清洗一次，特殊情况随脏随洗。</w:t>
      </w:r>
    </w:p>
    <w:p w14:paraId="6BC27211">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)严格执行卫生院临床废物管理的有关制度及消毒隔离措施。</w:t>
      </w:r>
    </w:p>
    <w:p w14:paraId="00C3BD38">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20</w:t>
      </w:r>
      <w:r>
        <w:rPr>
          <w:rFonts w:hint="eastAsia" w:ascii="仿宋" w:hAnsi="仿宋" w:eastAsia="仿宋" w:cs="仿宋"/>
          <w:color w:val="auto"/>
          <w:sz w:val="28"/>
          <w:szCs w:val="28"/>
          <w:highlight w:val="none"/>
        </w:rPr>
        <w:t>)为防止交叉感染，不同区域的清洁工具按卫生院感染科的要求实行严格分类摆放和使用，用颜色进行区分。进行定点定期消毒。</w:t>
      </w:r>
    </w:p>
    <w:p w14:paraId="5F422D1C">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3.非临床科室用房清洁保洁工作要求及质量标准:</w:t>
      </w:r>
    </w:p>
    <w:p w14:paraId="2F522A8D">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各类行政、办公、仓库、休息室、会议室、接待室、资料室、活动室等非临床用房的清洁保洁质量,在达到建筑物内部物体清洁保洁工作质量要求与标准的基础上,还需达到下列要求。</w:t>
      </w:r>
    </w:p>
    <w:p w14:paraId="715E2C38">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(1)保持洁净整齐,每天例行清洁的时间及周、月集中清洁时间为商定时间,清洁时以不影响卫生院公务为原则。</w:t>
      </w:r>
    </w:p>
    <w:p w14:paraId="178FF8C1">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(2)除室外及垃圾箱内的垃圾外,室内文书、信函、纸张、报纸等物件(物体)在清理前须征得室内人员同意后进行。</w:t>
      </w:r>
    </w:p>
    <w:p w14:paraId="6F0C26B7">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(3)每周清洗开水容器1次,每次清洁过程中须对开水容器塞盖进行消毒。</w:t>
      </w:r>
    </w:p>
    <w:p w14:paraId="3FCE25CD">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(4)非临床区域的卫生间每天全面清洁、清理不少于2次,消毒不少于1次,其余时间进行巡回保洁、防止产生异味。</w:t>
      </w:r>
    </w:p>
    <w:p w14:paraId="7F9FDC98">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(5)工作人员在工作过程中要按规范保持良好礼仪和礼貌用语,尊重自己,尊重他人。保持保洁区域内的办公设备及用具整齐清洁,手摸无尘迹。</w:t>
      </w:r>
    </w:p>
    <w:p w14:paraId="726364D2">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(6)工作人员在工作过程中必须遵守卫生院的保密制度。</w:t>
      </w:r>
    </w:p>
    <w:p w14:paraId="41E10DCD">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4.临床科室用房清洁保洁工作要求及质量标准:</w:t>
      </w:r>
    </w:p>
    <w:p w14:paraId="21B4DB3C">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各住院病区、办公区域及各类临床辅助科室的清洁保洁质量,在达到建筑物内部物体清洁保洁工作质量要求的标准的基础上,还需达到下列要求。</w:t>
      </w:r>
    </w:p>
    <w:p w14:paraId="41CBE2B1">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各类临床医护办公室、更衣室、配药室、储存室、值班室、休息室等区域每天全面清洁及消毒不少于2次,其余时间作巡回保洁,保持室内设备及用具的整齐清洁,手摸无尘迹。如遇特殊情况,按医务人员的要求及时清洁消毒。</w:t>
      </w:r>
    </w:p>
    <w:p w14:paraId="1A036E26">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各类临床病区、监护室、治疗室、处置室、候诊室、诊室等污染区域每天按规定全面清洁、按规范消毒,按分类专用保洁用具做好保洁工作,保持室内设备及用具的整齐清洁,手摸无尘迹。如遇特殊情况,按医务人员的要求及时清洁消毒。</w:t>
      </w:r>
    </w:p>
    <w:p w14:paraId="37359167">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(3)临床科室附设各类治疗车、器械、消毒灯具、医疗设备及工具等,每日按规定全面清洁、按规范消毒,保持洁净。</w:t>
      </w:r>
    </w:p>
    <w:p w14:paraId="21DD54E6">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(4)某些科室临床使用的拖鞋、便盆等物品,按医务人员的要求及时清洗和按规范消毒。</w:t>
      </w:r>
    </w:p>
    <w:p w14:paraId="186377CE">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(5)病房内的床、椅、凳、柜等每天除了按规定进行清洁消毒外,出院病床单元还要及时进行全面卫生清洁及终末消毒。</w:t>
      </w:r>
    </w:p>
    <w:p w14:paraId="7AD81B31">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(6)临床区域的垃圾及时进行分类、院内集中收集;清倒后的垃圾箱、垃圾箩须及时按规定清洁。</w:t>
      </w:r>
    </w:p>
    <w:p w14:paraId="4D846953">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(7)临床区域的洗手盆、卫生间每天全面清洁、清理、消毒不少于2次,其余时间进行巡回保洁,预防产生异味。</w:t>
      </w:r>
    </w:p>
    <w:p w14:paraId="691E1C96">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(8)各类临床科室的清洁及消毒工作除要达到上述要求外,另根据各科室的实际情况按医务人员的要求及安排(工作范围内)进行。</w:t>
      </w:r>
    </w:p>
    <w:p w14:paraId="6C084CEA">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5.绿化地带的保洁</w:t>
      </w:r>
    </w:p>
    <w:p w14:paraId="545F2B75">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定期对草地、草坪、花木区域进行清扫做到无果皮、纸屑、塑料垃圾等，保持整洁美观。对室内盆景（花木）外观进行定期进行清理，手摸无灰尘。清扫过程中不得损坏花木、草坪，如有损坏，相关后果由中标方承担。</w:t>
      </w:r>
    </w:p>
    <w:p w14:paraId="521669AC">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6.垃圾的分类、收集、记录、保管(暂存)与交接的要求及标准:</w:t>
      </w:r>
    </w:p>
    <w:p w14:paraId="0938CBC6">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(1)工作要求:</w:t>
      </w:r>
    </w:p>
    <w:p w14:paraId="6B04D1D0">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①负责按指定路线将卫生院垃圾按医疗、生活垃圾进行分类收集,分别存放送达(暂存)在指定的垃圾间。做好医疗废弃物的暂存、登记台帐资料。</w:t>
      </w:r>
    </w:p>
    <w:p w14:paraId="6F4F2320">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②保洁用垃圾车每天清洗、消毒1次,每周全面冲洗、消毒1次。</w:t>
      </w:r>
    </w:p>
    <w:p w14:paraId="52A5F054">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(2)质量要求及标准:</w:t>
      </w:r>
    </w:p>
    <w:p w14:paraId="4180891F">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①垃圾按用工方要求，分类准确,不错分。</w:t>
      </w:r>
    </w:p>
    <w:p w14:paraId="1367EF9C">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②垃圾包装完整,不漏、不穿。</w:t>
      </w:r>
    </w:p>
    <w:p w14:paraId="4284FB0E">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③运送垃圾过程需按指定路线进行,做到不漏、不丢、不碰撞他人。</w:t>
      </w:r>
    </w:p>
    <w:p w14:paraId="32A90760">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④中标企业及其员工不能擅自拿取、盗用、倒卖垃圾。</w:t>
      </w:r>
    </w:p>
    <w:p w14:paraId="6AE83450">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（二）安保和消防监控服务</w:t>
      </w:r>
    </w:p>
    <w:p w14:paraId="7ABC8638">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一、安保服务范围：</w:t>
      </w:r>
    </w:p>
    <w:p w14:paraId="646F8FF0">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负责卫生院安全服务及秩序维持管理、院内治安消防安全管理和消防监控、地面停车场的车辆指挥。其中消防控制室的管理人员应具备</w:t>
      </w:r>
      <w:r>
        <w:rPr>
          <w:rFonts w:hint="eastAsia" w:ascii="仿宋" w:hAnsi="仿宋" w:eastAsia="仿宋" w:cs="仿宋"/>
          <w:color w:val="auto"/>
          <w:sz w:val="28"/>
          <w:szCs w:val="28"/>
          <w:highlight w:val="none"/>
          <w:lang w:eastAsia="zh-CN"/>
        </w:rPr>
        <w:t>公安部消防局颁发的《建（构）筑物消防员资格证》或《消防设施操作员证书》</w:t>
      </w:r>
      <w:r>
        <w:rPr>
          <w:rFonts w:hint="eastAsia" w:ascii="仿宋" w:hAnsi="仿宋" w:eastAsia="仿宋" w:cs="仿宋"/>
          <w:color w:val="auto"/>
          <w:sz w:val="28"/>
          <w:szCs w:val="28"/>
          <w:highlight w:val="none"/>
        </w:rPr>
        <w:t>。</w:t>
      </w:r>
    </w:p>
    <w:p w14:paraId="093DF5A9">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二、安保服务要求：</w:t>
      </w:r>
    </w:p>
    <w:p w14:paraId="5D58F0B0">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1、中标企业必须具备服务的实际经验，拥有素质良好的保安队伍，有一套完整的卫生院保安运作方法和严格的操作规程，制定科学、严格的管理制度和工作质量标准。</w:t>
      </w:r>
    </w:p>
    <w:p w14:paraId="1D0F2011">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2、保安队员要有良好的职业道德和服务态度，对医务人员、患者及患者家属要以礼相待。着装统一、整洁，动作规范，语言文明，形象良好。</w:t>
      </w:r>
    </w:p>
    <w:p w14:paraId="22F1FB22">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3、服从卫生院领导的工作安排，处理突发事件时，卫生院领导有权调动全员到岗。接受卫生院的监督、检查。卫生院有权要求更换工作态度不好、工作能力差的保安队员。</w:t>
      </w:r>
    </w:p>
    <w:p w14:paraId="0F8DB220">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4、不断提高员工素质。要求对保安队员的素质教育和业务技能培训常态化、规范化，同时对保安队员的工作进行常规化考核，确保工作质量标准化。</w:t>
      </w:r>
    </w:p>
    <w:p w14:paraId="16985BF0">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5、24小时安排保安人员值班，保证满员上岗，不漏岗。</w:t>
      </w:r>
    </w:p>
    <w:p w14:paraId="27172FA5">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6、合理安排机动人员，以应对节假日调休问题，保证不空岗。</w:t>
      </w:r>
    </w:p>
    <w:p w14:paraId="7CA29C47">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7、保安队员能熟练操作本院的所有消防设备和消防器材，一旦出现火情，必须在第一时间赶赴现场，并能有效、正确实施灭火。</w:t>
      </w:r>
    </w:p>
    <w:p w14:paraId="52D31D87">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8、实施三级防火责任制和岗位责任制，建立健全防火制度和消防安全监控值班制度。同时做好消防知识的普及和培训工作。</w:t>
      </w:r>
    </w:p>
    <w:p w14:paraId="165544C7">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9、对卫生院范围进出车辆进行指挥，安排机动车与非机动车按区域停放。</w:t>
      </w:r>
    </w:p>
    <w:p w14:paraId="7B0ECF77">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10、建筑物内严禁焚烧物品。建筑物内的走道、楼梯、出口等部位，保持畅通，严禁堆放物品。</w:t>
      </w:r>
    </w:p>
    <w:p w14:paraId="1C263820">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11、24小时监控，定时巡查。全天候每2小时巡逻1 次。重点监控门诊部、病区、院区出入口、停车场、药库药房及其他公共区域。</w:t>
      </w:r>
    </w:p>
    <w:p w14:paraId="7FC0BE92">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12、维护卫生院的正常秩序，协助公安机关打击不法分子对卫生院的破坏干扰，特别是对医托、医闹和盗窃分子的打击</w:t>
      </w:r>
      <w:r>
        <w:rPr>
          <w:rFonts w:hint="eastAsia" w:ascii="仿宋" w:hAnsi="仿宋" w:eastAsia="仿宋" w:cs="仿宋"/>
          <w:color w:val="auto"/>
          <w:sz w:val="28"/>
          <w:szCs w:val="28"/>
          <w:highlight w:val="none"/>
          <w:lang w:eastAsia="zh-CN"/>
        </w:rPr>
        <w:t>。</w:t>
      </w:r>
    </w:p>
    <w:p w14:paraId="2C8101CA">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（三）电梯管护</w:t>
      </w:r>
    </w:p>
    <w:p w14:paraId="31F44C3D">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负责电梯的日常管护及保洁。</w:t>
      </w:r>
    </w:p>
    <w:p w14:paraId="68B68AC1">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（四）工程维护</w:t>
      </w:r>
    </w:p>
    <w:p w14:paraId="2B5126CA">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1、绿化</w:t>
      </w:r>
    </w:p>
    <w:p w14:paraId="24B01B1F">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负责定期对院内花卉、苗木、草坪的裁剪、施肥、除虫、除草工作；特别注意植被的冬季防潮、雨季排涝等工作。全部费用由中标人承担（含在本次报价中）。</w:t>
      </w:r>
    </w:p>
    <w:p w14:paraId="49BD159C">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（五）其他</w:t>
      </w:r>
    </w:p>
    <w:p w14:paraId="76808955">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窗帘、</w:t>
      </w:r>
      <w:r>
        <w:rPr>
          <w:rFonts w:hint="eastAsia" w:ascii="仿宋" w:hAnsi="仿宋" w:eastAsia="仿宋" w:cs="仿宋"/>
          <w:color w:val="auto"/>
          <w:sz w:val="28"/>
          <w:szCs w:val="28"/>
          <w:highlight w:val="none"/>
        </w:rPr>
        <w:t>病床的被褥、床单、</w:t>
      </w:r>
      <w:r>
        <w:rPr>
          <w:rFonts w:hint="eastAsia" w:ascii="仿宋" w:hAnsi="仿宋" w:eastAsia="仿宋" w:cs="仿宋"/>
          <w:color w:val="auto"/>
          <w:sz w:val="28"/>
          <w:szCs w:val="28"/>
          <w:highlight w:val="none"/>
          <w:lang w:val="en-US" w:eastAsia="zh-CN"/>
        </w:rPr>
        <w:t>病服、</w:t>
      </w:r>
      <w:r>
        <w:rPr>
          <w:rFonts w:hint="eastAsia" w:ascii="仿宋" w:hAnsi="仿宋" w:eastAsia="仿宋" w:cs="仿宋"/>
          <w:color w:val="auto"/>
          <w:sz w:val="28"/>
          <w:szCs w:val="28"/>
          <w:highlight w:val="none"/>
        </w:rPr>
        <w:t>医护人员工作服</w:t>
      </w:r>
      <w:r>
        <w:rPr>
          <w:rFonts w:hint="eastAsia" w:ascii="仿宋" w:hAnsi="仿宋" w:eastAsia="仿宋" w:cs="仿宋"/>
          <w:color w:val="auto"/>
          <w:sz w:val="28"/>
          <w:szCs w:val="28"/>
          <w:highlight w:val="none"/>
          <w:lang w:val="en-US" w:eastAsia="zh-CN"/>
        </w:rPr>
        <w:t>管理、</w:t>
      </w:r>
      <w:r>
        <w:rPr>
          <w:rFonts w:hint="eastAsia" w:ascii="仿宋" w:hAnsi="仿宋" w:eastAsia="仿宋" w:cs="仿宋"/>
          <w:color w:val="auto"/>
          <w:sz w:val="28"/>
          <w:szCs w:val="28"/>
          <w:highlight w:val="none"/>
        </w:rPr>
        <w:t>清洗</w:t>
      </w:r>
      <w:r>
        <w:rPr>
          <w:rFonts w:hint="eastAsia" w:ascii="仿宋" w:hAnsi="仿宋" w:eastAsia="仿宋" w:cs="仿宋"/>
          <w:color w:val="auto"/>
          <w:sz w:val="28"/>
          <w:szCs w:val="28"/>
          <w:highlight w:val="none"/>
          <w:lang w:val="en-US" w:eastAsia="zh-CN"/>
        </w:rPr>
        <w:t>交接</w:t>
      </w:r>
      <w:r>
        <w:rPr>
          <w:rFonts w:hint="eastAsia" w:ascii="仿宋" w:hAnsi="仿宋" w:eastAsia="仿宋" w:cs="仿宋"/>
          <w:color w:val="auto"/>
          <w:sz w:val="28"/>
          <w:szCs w:val="28"/>
          <w:highlight w:val="none"/>
        </w:rPr>
        <w:t>等。</w:t>
      </w:r>
    </w:p>
    <w:p w14:paraId="4B4EDF28">
      <w:pPr>
        <w:pStyle w:val="13"/>
        <w:keepNext w:val="0"/>
        <w:keepLines w:val="0"/>
        <w:pageBreakBefore w:val="0"/>
        <w:widowControl w:val="0"/>
        <w:numPr>
          <w:ilvl w:val="0"/>
          <w:numId w:val="3"/>
        </w:numPr>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做好窗帘清洗前的拆卸工作和清洗后的安装工作；</w:t>
      </w:r>
    </w:p>
    <w:p w14:paraId="594BB3A2">
      <w:pPr>
        <w:pStyle w:val="13"/>
        <w:keepNext w:val="0"/>
        <w:keepLines w:val="0"/>
        <w:pageBreakBefore w:val="0"/>
        <w:widowControl w:val="0"/>
        <w:numPr>
          <w:ilvl w:val="0"/>
          <w:numId w:val="3"/>
        </w:numPr>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安排人员对各病区各病区的</w:t>
      </w:r>
      <w:r>
        <w:rPr>
          <w:rFonts w:hint="eastAsia" w:ascii="仿宋" w:hAnsi="仿宋" w:eastAsia="仿宋" w:cs="仿宋"/>
          <w:color w:val="auto"/>
          <w:sz w:val="28"/>
          <w:szCs w:val="28"/>
          <w:highlight w:val="none"/>
        </w:rPr>
        <w:t>被褥、床单、</w:t>
      </w:r>
      <w:r>
        <w:rPr>
          <w:rFonts w:hint="eastAsia" w:ascii="仿宋" w:hAnsi="仿宋" w:eastAsia="仿宋" w:cs="仿宋"/>
          <w:color w:val="auto"/>
          <w:sz w:val="28"/>
          <w:szCs w:val="28"/>
          <w:highlight w:val="none"/>
          <w:lang w:val="en-US" w:eastAsia="zh-CN"/>
        </w:rPr>
        <w:t>病服、</w:t>
      </w:r>
      <w:r>
        <w:rPr>
          <w:rFonts w:hint="eastAsia" w:ascii="仿宋" w:hAnsi="仿宋" w:eastAsia="仿宋" w:cs="仿宋"/>
          <w:color w:val="auto"/>
          <w:sz w:val="28"/>
          <w:szCs w:val="28"/>
          <w:highlight w:val="none"/>
        </w:rPr>
        <w:t>医护人员工作服</w:t>
      </w:r>
      <w:r>
        <w:rPr>
          <w:rFonts w:hint="eastAsia" w:ascii="仿宋" w:hAnsi="仿宋" w:eastAsia="仿宋" w:cs="仿宋"/>
          <w:color w:val="auto"/>
          <w:sz w:val="28"/>
          <w:szCs w:val="28"/>
          <w:highlight w:val="none"/>
          <w:lang w:val="en-US" w:eastAsia="zh-CN"/>
        </w:rPr>
        <w:t>管理：</w:t>
      </w:r>
      <w:r>
        <w:rPr>
          <w:rFonts w:hint="eastAsia" w:ascii="仿宋" w:hAnsi="仿宋" w:eastAsia="仿宋" w:cs="仿宋"/>
          <w:color w:val="auto"/>
          <w:kern w:val="0"/>
          <w:sz w:val="28"/>
          <w:szCs w:val="28"/>
          <w:highlight w:val="none"/>
          <w:lang w:val="en-US" w:eastAsia="zh-CN" w:bidi="ar-SA"/>
        </w:rPr>
        <w:t>衣物进行数量清点与质量检查，确保无丢失、无损坏；洗涤完毕后，认真核对送回的衣物，及时分发至各病区及医护人员手中。对于特殊材质或有特殊洗涤要求的衣物，需提前与洗涤单位沟通明确，并监督执行情况。此外，记录衣物的收发、洗涤、报废等情况，还需定期对衣物管理台账进行盘点和整理，确保账物相符，以便查询与追溯。</w:t>
      </w:r>
    </w:p>
    <w:p w14:paraId="60A7A460">
      <w:pPr>
        <w:pStyle w:val="13"/>
        <w:keepNext w:val="0"/>
        <w:keepLines w:val="0"/>
        <w:pageBreakBefore w:val="0"/>
        <w:widowControl w:val="0"/>
        <w:numPr>
          <w:ilvl w:val="0"/>
          <w:numId w:val="3"/>
        </w:numPr>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kern w:val="0"/>
          <w:sz w:val="28"/>
          <w:szCs w:val="28"/>
          <w:highlight w:val="none"/>
          <w:lang w:val="en-US" w:eastAsia="zh-CN" w:bidi="ar-SA"/>
        </w:rPr>
        <w:t>病人入院和出院时，</w:t>
      </w:r>
      <w:r>
        <w:rPr>
          <w:rFonts w:hint="eastAsia" w:ascii="仿宋" w:hAnsi="仿宋" w:eastAsia="仿宋" w:cs="仿宋"/>
          <w:color w:val="auto"/>
          <w:sz w:val="28"/>
          <w:szCs w:val="28"/>
          <w:highlight w:val="none"/>
        </w:rPr>
        <w:t>被褥、床单、</w:t>
      </w:r>
      <w:r>
        <w:rPr>
          <w:rFonts w:hint="eastAsia" w:ascii="仿宋" w:hAnsi="仿宋" w:eastAsia="仿宋" w:cs="仿宋"/>
          <w:color w:val="auto"/>
          <w:sz w:val="28"/>
          <w:szCs w:val="28"/>
          <w:highlight w:val="none"/>
          <w:lang w:val="en-US" w:eastAsia="zh-CN"/>
        </w:rPr>
        <w:t>病服</w:t>
      </w:r>
      <w:r>
        <w:rPr>
          <w:rFonts w:hint="eastAsia" w:ascii="仿宋" w:hAnsi="仿宋" w:eastAsia="仿宋" w:cs="仿宋"/>
          <w:color w:val="auto"/>
          <w:kern w:val="0"/>
          <w:sz w:val="28"/>
          <w:szCs w:val="28"/>
          <w:highlight w:val="none"/>
          <w:lang w:val="en-US" w:eastAsia="zh-CN" w:bidi="ar-SA"/>
        </w:rPr>
        <w:t>的发放与回收工作需做到及时、准确，确保每位病人都能使用到干净、整洁的床上用品和病服。在发放过程中，要仔细核对病人信息，避免错发、漏发。回收时，要对使用过的被褥、床单、病服进行初步检查，如有严重污渍或损坏，需单独记录并处理。对于出院病人用过的床上用品和病服，要按照卫生院的感染控制要求进行分类处理，可重复使用的需进行彻底清洗和消毒，无法再使用的则按报废程序处理。</w:t>
      </w:r>
    </w:p>
    <w:p w14:paraId="111F0B89">
      <w:pPr>
        <w:pStyle w:val="13"/>
        <w:keepNext w:val="0"/>
        <w:keepLines w:val="0"/>
        <w:pageBreakBefore w:val="0"/>
        <w:widowControl w:val="0"/>
        <w:numPr>
          <w:ilvl w:val="0"/>
          <w:numId w:val="3"/>
        </w:numPr>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kern w:val="0"/>
          <w:sz w:val="28"/>
          <w:szCs w:val="28"/>
          <w:highlight w:val="none"/>
          <w:lang w:val="en-US" w:eastAsia="zh-CN" w:bidi="ar-SA"/>
        </w:rPr>
        <w:t>对病区的冷藏柜定期巡查、及时清理变质食物与过期物品，确保冷藏柜内环境整洁、无异味，温度控制在适宜范围内，以保障食品的安全储存。对于冷藏设备的故障或异常情况，应立即通知维修人员进行检修，确保冷藏功能正常运行，避免因设备问题导致的物品损失。此外，还需定期对冷藏柜进行深度清洁和消毒，防止细菌滋生，确保病区食品存储安全。</w:t>
      </w:r>
    </w:p>
    <w:p w14:paraId="4DFE14E4">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（六）岗位设置建议及人员要求</w:t>
      </w:r>
    </w:p>
    <w:p w14:paraId="25603B24">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综合楼、中心供应楼合计建筑面积约13000平方米。</w:t>
      </w:r>
    </w:p>
    <w:p w14:paraId="3FEAAB70">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共需工作人员</w:t>
      </w:r>
      <w:r>
        <w:rPr>
          <w:rFonts w:hint="eastAsia" w:ascii="仿宋" w:hAnsi="仿宋" w:eastAsia="仿宋" w:cs="仿宋"/>
          <w:color w:val="auto"/>
          <w:sz w:val="28"/>
          <w:szCs w:val="28"/>
          <w:highlight w:val="none"/>
          <w:lang w:val="en-US" w:eastAsia="zh-CN"/>
        </w:rPr>
        <w:t>12名，其中</w:t>
      </w:r>
      <w:r>
        <w:rPr>
          <w:rFonts w:hint="eastAsia" w:ascii="仿宋" w:hAnsi="仿宋" w:eastAsia="仿宋" w:cs="仿宋"/>
          <w:color w:val="auto"/>
          <w:sz w:val="28"/>
          <w:szCs w:val="28"/>
          <w:highlight w:val="none"/>
        </w:rPr>
        <w:t>项目负责人1名</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门诊、住院综合楼楼内卫生保洁5名；传达室安保及院东西两侧道路保洁和停车场车辆管理2人(限男性)</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消防监控</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人（限男性）</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电梯管护及供应楼、康复养老之间的停车场所卫生保洁和车辆管理1人；中心供应楼保洁</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健康广场室外保洁1人。</w:t>
      </w:r>
    </w:p>
    <w:p w14:paraId="5C02D1F0">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注：物业服务工作人员应身体健康，有从事相关岗位的能力，遵纪守法。年龄</w:t>
      </w:r>
      <w:r>
        <w:rPr>
          <w:rFonts w:hint="eastAsia" w:ascii="仿宋" w:hAnsi="仿宋" w:eastAsia="仿宋" w:cs="仿宋"/>
          <w:color w:val="auto"/>
          <w:sz w:val="28"/>
          <w:szCs w:val="28"/>
          <w:highlight w:val="none"/>
          <w:lang w:val="en-US" w:eastAsia="zh-CN"/>
        </w:rPr>
        <w:t>在法定退休年龄内</w:t>
      </w:r>
      <w:r>
        <w:rPr>
          <w:rFonts w:hint="eastAsia" w:ascii="仿宋" w:hAnsi="仿宋" w:eastAsia="仿宋" w:cs="仿宋"/>
          <w:color w:val="auto"/>
          <w:sz w:val="28"/>
          <w:szCs w:val="28"/>
          <w:highlight w:val="none"/>
        </w:rPr>
        <w:t>。</w:t>
      </w:r>
    </w:p>
    <w:p w14:paraId="068BEF15">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消控室值班人员必须按照国家要求需具备《建（构）筑物消防员资格证》或《消防设施操作员证书》才能上岗</w:t>
      </w:r>
      <w:r>
        <w:rPr>
          <w:rFonts w:hint="eastAsia" w:ascii="仿宋" w:hAnsi="仿宋" w:eastAsia="仿宋" w:cs="仿宋"/>
          <w:color w:val="auto"/>
          <w:sz w:val="28"/>
          <w:szCs w:val="28"/>
          <w:highlight w:val="none"/>
          <w:lang w:eastAsia="zh-CN"/>
        </w:rPr>
        <w:t>（上述证书、相关人员的身份证明材料及社保证明材料等投标时无需提供，中标单位在签订合同前将上述证书交由甲方核验）</w:t>
      </w:r>
      <w:r>
        <w:rPr>
          <w:rFonts w:hint="eastAsia" w:ascii="仿宋" w:hAnsi="仿宋" w:eastAsia="仿宋" w:cs="仿宋"/>
          <w:color w:val="auto"/>
          <w:sz w:val="28"/>
          <w:szCs w:val="28"/>
          <w:highlight w:val="none"/>
        </w:rPr>
        <w:t>。</w:t>
      </w:r>
    </w:p>
    <w:p w14:paraId="5429AC0F">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四、服务质量要求</w:t>
      </w:r>
    </w:p>
    <w:p w14:paraId="5B74FC10">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1、各承包商需要针对企业品牌的延伸，以社会化效益为重的原则进行投标。</w:t>
      </w:r>
    </w:p>
    <w:p w14:paraId="265B4308">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2、各承包商须在对现场、周边环境全面了解的情况下编制科学合理、切实可行的组织实施计划以及具体的保障措施、工作程序。</w:t>
      </w:r>
    </w:p>
    <w:p w14:paraId="27E44F4A">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3、承包商应制定具体的质量保证措施及质量保证和相关服务承诺。如应质量未达到目标，承包商应因此承担责任和经济赔偿。</w:t>
      </w:r>
    </w:p>
    <w:p w14:paraId="0914CCD1">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4、服务区内垃圾用垃圾袋收集，存放在指定地点。清扫、保洁及生活服务的工作质量按国家卫生城市管理的有关标准严格验收。</w:t>
      </w:r>
    </w:p>
    <w:p w14:paraId="5AFBAA3D">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5、采购人有权在需要时对相关人员做集中调配并以调休、补休等方式进行补偿、此方式承包商必须认可。</w:t>
      </w:r>
    </w:p>
    <w:p w14:paraId="4941AE36">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6、承包商达不到采购人要求及承包商各项服务承诺，采购人有权要求其整改，直至扣款或终止合同。</w:t>
      </w:r>
    </w:p>
    <w:p w14:paraId="5E7BAF19">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7、承包商所有的工作应按承包商的内部流程实施外还应接受采购人或第三方检查。</w:t>
      </w:r>
    </w:p>
    <w:p w14:paraId="32739466">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8、承包商需制订消防、抗台、安全等紧急预案，并切实地培训到每个岗位人员。</w:t>
      </w:r>
    </w:p>
    <w:p w14:paraId="5831E7ED">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1F3CDC0B">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五、付款方式</w:t>
      </w:r>
    </w:p>
    <w:p w14:paraId="5370B1F5">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1、合同款项的支付方式及进度安排</w:t>
      </w:r>
    </w:p>
    <w:p w14:paraId="63E88B84">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2、预付款支付时间：合同签订后，采购人收到发票后10个工作日内；预付款支付比例：合同金额的30%。</w:t>
      </w:r>
    </w:p>
    <w:p w14:paraId="6C32F6A8">
      <w:pPr>
        <w:pStyle w:val="13"/>
        <w:keepNext w:val="0"/>
        <w:keepLines w:val="0"/>
        <w:pageBreakBefore w:val="0"/>
        <w:widowControl w:val="0"/>
        <w:kinsoku/>
        <w:wordWrap/>
        <w:overflowPunct/>
        <w:topLinePunct w:val="0"/>
        <w:autoSpaceDE/>
        <w:autoSpaceDN/>
        <w:bidi w:val="0"/>
        <w:adjustRightInd/>
        <w:spacing w:beforeAutospacing="0" w:afterAutospacing="0" w:line="440" w:lineRule="exact"/>
        <w:ind w:left="-525" w:leftChars="-250" w:right="-525" w:rightChars="-250"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3、每个月服务结束并考核合格，在下个月的月底支付上个月的服务费，每月的支付费用=总物业服务费/12。预付款从第一个月开始扣减，直至扣完为止。采购人收到发票后10个工作日内，支付相应款项。</w:t>
      </w:r>
    </w:p>
    <w:p w14:paraId="09A3C036">
      <w:pPr>
        <w:keepNext w:val="0"/>
        <w:keepLines w:val="0"/>
        <w:pageBreakBefore w:val="0"/>
        <w:widowControl w:val="0"/>
        <w:kinsoku/>
        <w:wordWrap/>
        <w:overflowPunct/>
        <w:autoSpaceDE/>
        <w:autoSpaceDN/>
        <w:bidi w:val="0"/>
        <w:spacing w:line="440" w:lineRule="exact"/>
        <w:ind w:left="-525" w:leftChars="-250" w:right="-525" w:rightChars="-250" w:firstLine="562"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六、</w:t>
      </w:r>
      <w:r>
        <w:rPr>
          <w:rFonts w:hint="eastAsia" w:ascii="仿宋" w:hAnsi="仿宋" w:eastAsia="仿宋" w:cs="仿宋"/>
          <w:b/>
          <w:bCs/>
          <w:color w:val="auto"/>
          <w:sz w:val="28"/>
          <w:szCs w:val="28"/>
          <w:highlight w:val="none"/>
          <w:lang w:val="en-US" w:eastAsia="zh-CN"/>
        </w:rPr>
        <w:t>项目管理服务方案</w:t>
      </w:r>
    </w:p>
    <w:p w14:paraId="6B7D9985">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1.符合政策法规的整体设想及策划：</w:t>
      </w:r>
    </w:p>
    <w:p w14:paraId="357A2E33">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投标人应根据采购需求和本项目实际，提供本项目整体设想及策划，方案应包括但不限于：（1）本项目管理理念；（2）管理工作目标；（3）项目服务定位；（4）服务设想及策划；（5）重点、难点把控等情况的分析应对；（6）制度建设；（7）档案管理；（8）进场交接过渡方案（包括交接时间进度安排、人员培训、具体交接的内容等，要求方案详细、科学合理、可行性高且措施有力，确保平稳有序交接完成）等。要求方案细致完整、针对性强、措施有力，方案的贯彻应能满足本项目各项服务要求。</w:t>
      </w:r>
    </w:p>
    <w:p w14:paraId="47223A14">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2.组织机构设置、人员配备、培训与管理：</w:t>
      </w:r>
    </w:p>
    <w:p w14:paraId="3D296301">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根据项目需求组织机构设置、人员配备、培训与管理方案。方案内容包括但不限于：（1）投标方应针对本项目实际运行状况及服务要求，拟定配备员工人数,投标方负责提供岗位人员配备清单及排班表等。（2）所有员工必须经过岗前培训，培训合格方能入职，物业员工需具有垃圾分类、节能环保等意识。（3）投标人所投服务所有人员(小时工除外)必须专职为采购人服务，不得兼职。（4）投标人有岗前培训，服务人员100%经过岗前或在岗培训，考试合格才能独立上岗。投标人需为保障服务有序开展设置培训内容，针对普通一线员工培训教程，制定培训计划(包含培训内容、培训时间等内容)。（5）要求每周有班会、每月至少对员工进行一次再培训，投标人的各岗位员工必须参与校方组织的安全生产、消防安全、应急演练等专业培训。</w:t>
      </w:r>
    </w:p>
    <w:p w14:paraId="2C15AE3C">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3.制度的建立：</w:t>
      </w:r>
    </w:p>
    <w:p w14:paraId="10E594CE">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投标人应根据采购需求和本项目实际，提供本项目制度建立方案，方案应包括但不限于：（1）人员管理制度。（2）服务流程制度。（3）财务管理制度等内容。</w:t>
      </w:r>
    </w:p>
    <w:p w14:paraId="41C1530B">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4.适合本项目的各种突发事件的处理预案：</w:t>
      </w:r>
    </w:p>
    <w:p w14:paraId="4D6BE0F6">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方案包括本物业项目制定的各种突发事件的处理预案（自然灾害中的物业应急预案</w:t>
      </w:r>
      <w:r>
        <w:rPr>
          <w:rFonts w:hint="eastAsia" w:ascii="仿宋" w:hAnsi="仿宋" w:eastAsia="仿宋" w:cs="仿宋"/>
          <w:color w:val="auto"/>
          <w:kern w:val="2"/>
          <w:sz w:val="28"/>
          <w:szCs w:val="28"/>
          <w:highlight w:val="none"/>
          <w:lang w:val="en-US" w:eastAsia="zh-CN" w:bidi="ar-SA"/>
        </w:rPr>
        <w:t>针对可能发生的自然灾害，如暴雨、洪水、地震、台风等，制定详细的物业应急预案。预案中需明确应急指挥体系，包括应急指挥部的组成、职责及联系方式，确保在灾害发生时能够迅速启动应急响应机制、应急疏散路线的规划</w:t>
      </w:r>
      <w:r>
        <w:rPr>
          <w:rFonts w:hint="eastAsia" w:ascii="仿宋" w:hAnsi="仿宋" w:eastAsia="仿宋" w:cs="仿宋"/>
          <w:color w:val="auto"/>
          <w:sz w:val="28"/>
          <w:szCs w:val="28"/>
          <w:highlight w:val="none"/>
          <w:lang w:val="en-US" w:eastAsia="zh-CN"/>
        </w:rPr>
        <w:t>；传染性疾病爆发的</w:t>
      </w:r>
      <w:r>
        <w:rPr>
          <w:rFonts w:hint="eastAsia" w:ascii="仿宋" w:hAnsi="仿宋" w:eastAsia="仿宋" w:cs="仿宋"/>
          <w:color w:val="auto"/>
          <w:kern w:val="2"/>
          <w:sz w:val="28"/>
          <w:szCs w:val="28"/>
          <w:highlight w:val="none"/>
          <w:lang w:val="en-US" w:eastAsia="zh-CN" w:bidi="ar-SA"/>
        </w:rPr>
        <w:t>人员调配预案，保障物业服务的连续性</w:t>
      </w:r>
      <w:r>
        <w:rPr>
          <w:rFonts w:hint="eastAsia" w:ascii="仿宋" w:hAnsi="仿宋" w:eastAsia="仿宋" w:cs="仿宋"/>
          <w:color w:val="auto"/>
          <w:sz w:val="28"/>
          <w:szCs w:val="28"/>
          <w:highlight w:val="none"/>
          <w:lang w:val="en-US" w:eastAsia="zh-CN"/>
        </w:rPr>
        <w:t>的措施；医患纠纷应急预案，如何建立</w:t>
      </w:r>
      <w:r>
        <w:rPr>
          <w:rFonts w:hint="eastAsia" w:ascii="仿宋" w:hAnsi="仿宋" w:eastAsia="仿宋" w:cs="仿宋"/>
          <w:color w:val="auto"/>
          <w:kern w:val="2"/>
          <w:sz w:val="28"/>
          <w:szCs w:val="28"/>
          <w:highlight w:val="none"/>
          <w:lang w:val="en-US" w:eastAsia="zh-CN" w:bidi="ar-SA"/>
        </w:rPr>
        <w:t>迅速启动安保应急响应机制、保持现场秩序，对情绪激动或有过激行为的人员的处理，现场证据和资料的保护</w:t>
      </w:r>
      <w:r>
        <w:rPr>
          <w:rFonts w:hint="eastAsia" w:ascii="仿宋" w:hAnsi="仿宋" w:eastAsia="仿宋" w:cs="仿宋"/>
          <w:color w:val="auto"/>
          <w:sz w:val="28"/>
          <w:szCs w:val="28"/>
          <w:highlight w:val="none"/>
          <w:lang w:val="en-US" w:eastAsia="zh-CN"/>
        </w:rPr>
        <w:t>)。</w:t>
      </w:r>
    </w:p>
    <w:p w14:paraId="6E1E048E">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5.日常管理措施等：</w:t>
      </w:r>
    </w:p>
    <w:p w14:paraId="41983C23">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投标人应根据采购需求和本项目实际，制定相应的日常管理措施方案包括但不限于以下内容：（1）公共设备设施管理、清洁保洁管理、会务服务管理等。（2）岗位设置、分工职责、各类规章制度等。（3）制定具体的实施流程、实施方案及质量标准等内容。（4）安全防范措施等。要求方案细致完整、针对性强、措施有力，方案的贯彻应能满足本项目服务要求。</w:t>
      </w:r>
    </w:p>
    <w:p w14:paraId="619EB117">
      <w:pPr>
        <w:keepNext w:val="0"/>
        <w:keepLines w:val="0"/>
        <w:pageBreakBefore w:val="0"/>
        <w:widowControl w:val="0"/>
        <w:numPr>
          <w:ilvl w:val="0"/>
          <w:numId w:val="4"/>
        </w:numPr>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医疗废物处置方案：</w:t>
      </w:r>
    </w:p>
    <w:p w14:paraId="6337C5CE">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要明确医疗废物的分类标准与识别方法，确保各类废物能够依据其特性被准确无误地归类，并分别设置明显的标识与存放区域。制定详细的废物收集、包装与暂存流程，包括使用符合规定的专用容器和包装材料，确保在收集过程中不会发生泄漏或污染，同时暂存点的设置条件、管理要求及存放时限，以防止废物积压或不当处理。暂存点设置防鼠防虫设施，防止液体废物外溢实施细节、工作人员操作时、操作后的隔离、消毒防护措施；暂存点每日进行清洁消毒计划，环境监测措施。</w:t>
      </w:r>
    </w:p>
    <w:p w14:paraId="2322C1AB">
      <w:pPr>
        <w:keepNext w:val="0"/>
        <w:keepLines w:val="0"/>
        <w:pageBreakBefore w:val="0"/>
        <w:widowControl w:val="0"/>
        <w:numPr>
          <w:ilvl w:val="0"/>
          <w:numId w:val="4"/>
        </w:numPr>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合同到期时交接方案</w:t>
      </w:r>
    </w:p>
    <w:p w14:paraId="08D736C5">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default"/>
          <w:color w:val="auto"/>
          <w:highlight w:val="none"/>
          <w:lang w:val="en-US" w:eastAsia="zh-CN"/>
        </w:rPr>
      </w:pPr>
      <w:r>
        <w:rPr>
          <w:rFonts w:hint="eastAsia" w:ascii="仿宋" w:hAnsi="仿宋" w:eastAsia="仿宋" w:cs="仿宋"/>
          <w:color w:val="auto"/>
          <w:sz w:val="28"/>
          <w:szCs w:val="28"/>
          <w:highlight w:val="none"/>
          <w:lang w:val="en-US" w:eastAsia="zh-CN"/>
        </w:rPr>
        <w:t>投标人应根据采购需求和本项目实际，提供本项目合同到期时交接方案（交接准备、交接工作流程等)。物业服务合同到期时交接方案需包含以下几个关键方面：交接的时间节点与具体流程，确保双方对交接的各个环节有清晰的认识和安排。制定详细的交接清单，涵盖物业设施设备、文档资料、财务账目等所有需要交接的内容，确保无遗漏。安排专业人员对交接内容进行逐一核对和验收，确保交接的质量和准确性。交接完成后，双方应签署交接确认书，作为交接工作完成的正式凭证。</w:t>
      </w:r>
    </w:p>
    <w:p w14:paraId="07B93682">
      <w:pPr>
        <w:keepNext w:val="0"/>
        <w:keepLines w:val="0"/>
        <w:pageBreakBefore w:val="0"/>
        <w:widowControl w:val="0"/>
        <w:kinsoku/>
        <w:wordWrap/>
        <w:overflowPunct/>
        <w:autoSpaceDE/>
        <w:autoSpaceDN/>
        <w:bidi w:val="0"/>
        <w:spacing w:line="440" w:lineRule="exact"/>
        <w:ind w:left="-525" w:leftChars="-250" w:right="-525" w:rightChars="-250" w:firstLine="562" w:firstLineChars="200"/>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七、业绩</w:t>
      </w:r>
    </w:p>
    <w:p w14:paraId="5A183055">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投标人需要具备丰富的物业服务相关承接经验，确保本项目的顺利实施，投标人自2022年1月1日（以合同签订时间为准）以来具有类似医疗机构物业服务业绩的优先。</w:t>
      </w:r>
    </w:p>
    <w:p w14:paraId="6652DD34">
      <w:pPr>
        <w:keepNext w:val="0"/>
        <w:keepLines w:val="0"/>
        <w:pageBreakBefore w:val="0"/>
        <w:widowControl w:val="0"/>
        <w:kinsoku/>
        <w:wordWrap/>
        <w:overflowPunct/>
        <w:autoSpaceDE/>
        <w:autoSpaceDN/>
        <w:bidi w:val="0"/>
        <w:spacing w:line="440" w:lineRule="exact"/>
        <w:ind w:left="-525" w:leftChars="-250" w:right="-525" w:rightChars="-250" w:firstLine="562" w:firstLineChars="200"/>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八、奖项</w:t>
      </w:r>
    </w:p>
    <w:p w14:paraId="437EDB29">
      <w:pPr>
        <w:keepNext w:val="0"/>
        <w:keepLines w:val="0"/>
        <w:pageBreakBefore w:val="0"/>
        <w:widowControl w:val="0"/>
        <w:kinsoku/>
        <w:wordWrap/>
        <w:overflowPunct/>
        <w:autoSpaceDE/>
        <w:autoSpaceDN/>
        <w:bidi w:val="0"/>
        <w:spacing w:line="440" w:lineRule="exact"/>
        <w:ind w:left="-525" w:leftChars="-250" w:right="-525" w:rightChars="-250" w:firstLine="560" w:firstLineChars="200"/>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投标人需要具备2022年1月1日（以颁发时间为准）以来各级行政部门颁发的荣誉或奖项的优先。</w:t>
      </w:r>
    </w:p>
    <w:p w14:paraId="45698F78">
      <w:pPr>
        <w:keepNext w:val="0"/>
        <w:keepLines w:val="0"/>
        <w:pageBreakBefore w:val="0"/>
        <w:widowControl w:val="0"/>
        <w:kinsoku/>
        <w:wordWrap/>
        <w:overflowPunct/>
        <w:autoSpaceDE/>
        <w:autoSpaceDN/>
        <w:bidi w:val="0"/>
        <w:spacing w:line="440" w:lineRule="exact"/>
        <w:ind w:left="-525" w:leftChars="-250" w:right="-525" w:rightChars="-250" w:firstLine="562" w:firstLineChars="200"/>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九、体系认证</w:t>
      </w:r>
    </w:p>
    <w:p w14:paraId="34996BF1">
      <w:pPr>
        <w:keepNext w:val="0"/>
        <w:keepLines w:val="0"/>
        <w:pageBreakBefore w:val="0"/>
        <w:widowControl w:val="0"/>
        <w:kinsoku/>
        <w:wordWrap/>
        <w:overflowPunct/>
        <w:topLine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投标人需具备各种良好的管理体系，规范日常管理与服务流程，确保物业服务质量稳定,积极保障员工健康，提升工作环境，防范信息泄露等，整合管理流程，减少重复工作，提高资源利用效率，以保障本项目的顺利实施，具有全国认证认可信息公共服务平台的有效期内的质量管理体系认证证书、环境管理体系认证证书、职业健康安全管理体系认证证书的优先。</w:t>
      </w:r>
    </w:p>
    <w:p w14:paraId="245A3174">
      <w:pPr>
        <w:keepNext w:val="0"/>
        <w:keepLines w:val="0"/>
        <w:pageBreakBefore w:val="0"/>
        <w:widowControl w:val="0"/>
        <w:kinsoku/>
        <w:wordWrap/>
        <w:overflowPunct/>
        <w:topLinePunct/>
        <w:autoSpaceDE/>
        <w:autoSpaceDN/>
        <w:bidi w:val="0"/>
        <w:spacing w:line="440" w:lineRule="exact"/>
        <w:ind w:left="-525" w:leftChars="-250" w:right="-525" w:rightChars="-250" w:firstLine="562" w:firstLineChars="200"/>
        <w:textAlignment w:val="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十、其它</w:t>
      </w:r>
    </w:p>
    <w:p w14:paraId="1A10C61D">
      <w:pPr>
        <w:keepNext w:val="0"/>
        <w:keepLines w:val="0"/>
        <w:pageBreakBefore w:val="0"/>
        <w:widowControl w:val="0"/>
        <w:kinsoku/>
        <w:wordWrap/>
        <w:overflowPunct/>
        <w:topLine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1、本次服务人员上、下班时的安全责任均由成交供应商承担，综合考虑至报价内，如发生安全责任事故，采购人不承担任何责任。</w:t>
      </w:r>
    </w:p>
    <w:p w14:paraId="2E435812">
      <w:pPr>
        <w:keepNext w:val="0"/>
        <w:keepLines w:val="0"/>
        <w:pageBreakBefore w:val="0"/>
        <w:widowControl w:val="0"/>
        <w:kinsoku/>
        <w:wordWrap/>
        <w:overflowPunct/>
        <w:topLine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2、本次服务安保人员需保证24个时有人在岗；保洁人员需保证公共部位卫生清洁。具体工作时间需符合招标人要求。</w:t>
      </w:r>
    </w:p>
    <w:p w14:paraId="66176AFF">
      <w:pPr>
        <w:keepNext w:val="0"/>
        <w:keepLines w:val="0"/>
        <w:pageBreakBefore w:val="0"/>
        <w:widowControl w:val="0"/>
        <w:kinsoku/>
        <w:wordWrap/>
        <w:overflowPunct/>
        <w:topLinePunct/>
        <w:autoSpaceDE/>
        <w:autoSpaceDN/>
        <w:bidi w:val="0"/>
        <w:spacing w:line="440" w:lineRule="exact"/>
        <w:ind w:left="-525" w:leftChars="-250" w:right="-525" w:rightChars="-250" w:firstLine="560" w:firstLineChars="200"/>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3、本次服务中标供应商需按采购人要求</w:t>
      </w:r>
      <w:r>
        <w:rPr>
          <w:rFonts w:hint="eastAsia" w:ascii="仿宋" w:hAnsi="仿宋" w:eastAsia="仿宋" w:cs="仿宋"/>
          <w:b w:val="0"/>
          <w:bCs w:val="0"/>
          <w:color w:val="auto"/>
          <w:sz w:val="28"/>
          <w:szCs w:val="28"/>
          <w:highlight w:val="none"/>
          <w:lang w:val="en-US" w:eastAsia="zh-CN"/>
        </w:rPr>
        <w:t>在休息日人员按50%的比例上班，供应商自行考虑调整人员上班，</w:t>
      </w:r>
      <w:r>
        <w:rPr>
          <w:rFonts w:hint="eastAsia" w:ascii="仿宋" w:hAnsi="仿宋" w:eastAsia="仿宋" w:cs="仿宋"/>
          <w:color w:val="auto"/>
          <w:sz w:val="28"/>
          <w:szCs w:val="28"/>
          <w:highlight w:val="none"/>
          <w:lang w:val="en-US" w:eastAsia="zh-CN"/>
        </w:rPr>
        <w:t>综合考虑至报价内。</w:t>
      </w:r>
    </w:p>
    <w:p w14:paraId="30D9DF46">
      <w:pPr>
        <w:keepNext w:val="0"/>
        <w:keepLines w:val="0"/>
        <w:pageBreakBefore w:val="0"/>
        <w:widowControl w:val="0"/>
        <w:kinsoku/>
        <w:wordWrap/>
        <w:overflowPunct/>
        <w:topLine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、本</w:t>
      </w:r>
      <w:r>
        <w:rPr>
          <w:rFonts w:hint="eastAsia" w:ascii="仿宋" w:hAnsi="仿宋" w:eastAsia="仿宋" w:cs="仿宋"/>
          <w:color w:val="auto"/>
          <w:sz w:val="28"/>
          <w:szCs w:val="28"/>
          <w:highlight w:val="none"/>
          <w:lang w:val="en-US" w:eastAsia="zh-CN"/>
        </w:rPr>
        <w:t>次服务</w:t>
      </w:r>
      <w:r>
        <w:rPr>
          <w:rFonts w:hint="eastAsia" w:ascii="仿宋" w:hAnsi="仿宋" w:eastAsia="仿宋" w:cs="仿宋"/>
          <w:color w:val="auto"/>
          <w:sz w:val="28"/>
          <w:szCs w:val="28"/>
          <w:highlight w:val="none"/>
        </w:rPr>
        <w:t>服务合同终止时，</w:t>
      </w:r>
      <w:r>
        <w:rPr>
          <w:rFonts w:hint="eastAsia" w:ascii="仿宋" w:hAnsi="仿宋" w:eastAsia="仿宋" w:cs="仿宋"/>
          <w:color w:val="auto"/>
          <w:sz w:val="28"/>
          <w:szCs w:val="28"/>
          <w:highlight w:val="none"/>
          <w:lang w:val="en-US" w:eastAsia="zh-CN"/>
        </w:rPr>
        <w:t>成交供应商</w:t>
      </w:r>
      <w:r>
        <w:rPr>
          <w:rFonts w:hint="eastAsia" w:ascii="仿宋" w:hAnsi="仿宋" w:eastAsia="仿宋" w:cs="仿宋"/>
          <w:color w:val="auto"/>
          <w:sz w:val="28"/>
          <w:szCs w:val="28"/>
          <w:highlight w:val="none"/>
        </w:rPr>
        <w:t>应当将相关用房和所有资料、档案完整的移交给</w:t>
      </w:r>
      <w:r>
        <w:rPr>
          <w:rFonts w:hint="eastAsia" w:ascii="仿宋" w:hAnsi="仿宋" w:eastAsia="仿宋" w:cs="仿宋"/>
          <w:color w:val="auto"/>
          <w:sz w:val="28"/>
          <w:szCs w:val="28"/>
          <w:highlight w:val="none"/>
          <w:lang w:val="en-US" w:eastAsia="zh-CN"/>
        </w:rPr>
        <w:t>采购人</w:t>
      </w:r>
      <w:r>
        <w:rPr>
          <w:rFonts w:hint="eastAsia" w:ascii="仿宋" w:hAnsi="仿宋" w:eastAsia="仿宋" w:cs="仿宋"/>
          <w:color w:val="auto"/>
          <w:sz w:val="28"/>
          <w:szCs w:val="28"/>
          <w:highlight w:val="none"/>
        </w:rPr>
        <w:t>。</w:t>
      </w:r>
    </w:p>
    <w:p w14:paraId="364CB9F0">
      <w:pPr>
        <w:keepNext w:val="0"/>
        <w:keepLines w:val="0"/>
        <w:pageBreakBefore w:val="0"/>
        <w:widowControl w:val="0"/>
        <w:kinsoku/>
        <w:wordWrap/>
        <w:overflowPunct/>
        <w:topLine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、本</w:t>
      </w:r>
      <w:r>
        <w:rPr>
          <w:rFonts w:hint="eastAsia" w:ascii="仿宋" w:hAnsi="仿宋" w:eastAsia="仿宋" w:cs="仿宋"/>
          <w:color w:val="auto"/>
          <w:sz w:val="28"/>
          <w:szCs w:val="28"/>
          <w:highlight w:val="none"/>
          <w:lang w:val="en-US" w:eastAsia="zh-CN"/>
        </w:rPr>
        <w:t>次服务</w:t>
      </w:r>
      <w:r>
        <w:rPr>
          <w:rFonts w:hint="eastAsia" w:ascii="仿宋" w:hAnsi="仿宋" w:eastAsia="仿宋" w:cs="仿宋"/>
          <w:color w:val="auto"/>
          <w:sz w:val="28"/>
          <w:szCs w:val="28"/>
          <w:highlight w:val="none"/>
        </w:rPr>
        <w:t>服务合同终止时，</w:t>
      </w:r>
      <w:r>
        <w:rPr>
          <w:rFonts w:hint="eastAsia" w:ascii="仿宋" w:hAnsi="仿宋" w:eastAsia="仿宋" w:cs="仿宋"/>
          <w:color w:val="auto"/>
          <w:sz w:val="28"/>
          <w:szCs w:val="28"/>
          <w:highlight w:val="none"/>
          <w:lang w:val="en-US" w:eastAsia="zh-CN"/>
        </w:rPr>
        <w:t>采购人</w:t>
      </w:r>
      <w:r>
        <w:rPr>
          <w:rFonts w:hint="eastAsia" w:ascii="仿宋" w:hAnsi="仿宋" w:eastAsia="仿宋" w:cs="仿宋"/>
          <w:color w:val="auto"/>
          <w:sz w:val="28"/>
          <w:szCs w:val="28"/>
          <w:highlight w:val="none"/>
        </w:rPr>
        <w:t>选聘了新的服务企业的，服务企业之间应当做好交接工作。</w:t>
      </w:r>
    </w:p>
    <w:p w14:paraId="6695740C">
      <w:pPr>
        <w:keepNext w:val="0"/>
        <w:keepLines w:val="0"/>
        <w:pageBreakBefore w:val="0"/>
        <w:widowControl w:val="0"/>
        <w:kinsoku/>
        <w:wordWrap/>
        <w:overflowPunct/>
        <w:topLinePunct/>
        <w:autoSpaceDE/>
        <w:autoSpaceDN/>
        <w:bidi w:val="0"/>
        <w:spacing w:line="440" w:lineRule="exact"/>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服务</w:t>
      </w:r>
      <w:r>
        <w:rPr>
          <w:rFonts w:hint="eastAsia" w:ascii="仿宋" w:hAnsi="仿宋" w:eastAsia="仿宋" w:cs="仿宋"/>
          <w:color w:val="auto"/>
          <w:sz w:val="28"/>
          <w:szCs w:val="28"/>
          <w:highlight w:val="none"/>
        </w:rPr>
        <w:t>方未经采购人同意不得将</w:t>
      </w:r>
      <w:r>
        <w:rPr>
          <w:rFonts w:hint="eastAsia" w:ascii="仿宋" w:hAnsi="仿宋" w:eastAsia="仿宋" w:cs="仿宋"/>
          <w:color w:val="auto"/>
          <w:sz w:val="28"/>
          <w:szCs w:val="28"/>
          <w:highlight w:val="none"/>
          <w:lang w:val="en-US" w:eastAsia="zh-CN"/>
        </w:rPr>
        <w:t>物业</w:t>
      </w:r>
      <w:r>
        <w:rPr>
          <w:rFonts w:hint="eastAsia" w:ascii="仿宋" w:hAnsi="仿宋" w:eastAsia="仿宋" w:cs="仿宋"/>
          <w:color w:val="auto"/>
          <w:sz w:val="28"/>
          <w:szCs w:val="28"/>
          <w:highlight w:val="none"/>
        </w:rPr>
        <w:t>管理区域内的服务项目转包给另一方。</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7</w:t>
      </w:r>
      <w:r>
        <w:rPr>
          <w:rFonts w:hint="eastAsia" w:ascii="仿宋" w:hAnsi="仿宋" w:eastAsia="仿宋" w:cs="仿宋"/>
          <w:color w:val="auto"/>
          <w:sz w:val="28"/>
          <w:szCs w:val="28"/>
          <w:highlight w:val="none"/>
        </w:rPr>
        <w:t>、未尽事宜，按国家和地方最新</w:t>
      </w:r>
      <w:r>
        <w:rPr>
          <w:rFonts w:hint="eastAsia" w:ascii="仿宋" w:hAnsi="仿宋" w:eastAsia="仿宋" w:cs="仿宋"/>
          <w:color w:val="auto"/>
          <w:sz w:val="28"/>
          <w:szCs w:val="28"/>
          <w:highlight w:val="none"/>
          <w:lang w:val="en-US" w:eastAsia="zh-CN"/>
        </w:rPr>
        <w:t>标准</w:t>
      </w:r>
      <w:r>
        <w:rPr>
          <w:rFonts w:hint="eastAsia" w:ascii="仿宋" w:hAnsi="仿宋" w:eastAsia="仿宋" w:cs="仿宋"/>
          <w:color w:val="auto"/>
          <w:sz w:val="28"/>
          <w:szCs w:val="28"/>
          <w:highlight w:val="none"/>
        </w:rPr>
        <w:t>执行，有冲突处，按高标准执行。</w:t>
      </w:r>
    </w:p>
    <w:p w14:paraId="6AEF1D0C">
      <w:pPr>
        <w:keepNext w:val="0"/>
        <w:keepLines w:val="0"/>
        <w:pageBreakBefore w:val="0"/>
        <w:widowControl w:val="0"/>
        <w:kinsoku/>
        <w:wordWrap/>
        <w:overflowPunct/>
        <w:topLinePunct/>
        <w:autoSpaceDE/>
        <w:autoSpaceDN/>
        <w:bidi w:val="0"/>
        <w:spacing w:line="440" w:lineRule="exact"/>
        <w:ind w:left="-525" w:leftChars="-250" w:right="-525" w:rightChars="-250" w:firstLine="56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十一</w:t>
      </w:r>
      <w:r>
        <w:rPr>
          <w:rFonts w:hint="eastAsia" w:ascii="仿宋" w:hAnsi="仿宋" w:eastAsia="仿宋" w:cs="仿宋"/>
          <w:b/>
          <w:bCs/>
          <w:color w:val="auto"/>
          <w:sz w:val="28"/>
          <w:szCs w:val="28"/>
          <w:highlight w:val="none"/>
        </w:rPr>
        <w:t>、计税方式:本项目采用增值税一般计税方法，付款时应提供正规的服务业发票。</w:t>
      </w:r>
    </w:p>
    <w:p w14:paraId="68C04F6A">
      <w:pPr>
        <w:widowControl/>
        <w:spacing w:line="360" w:lineRule="exact"/>
        <w:rPr>
          <w:rFonts w:hint="eastAsia" w:ascii="宋体" w:hAnsi="宋体"/>
          <w:b/>
          <w:bCs/>
          <w:color w:val="auto"/>
          <w:szCs w:val="21"/>
          <w:highlight w:val="none"/>
        </w:rPr>
      </w:pPr>
      <w:r>
        <w:rPr>
          <w:rFonts w:hint="eastAsia" w:ascii="仿宋" w:hAnsi="仿宋" w:eastAsia="仿宋" w:cs="仿宋"/>
          <w:color w:val="auto"/>
          <w:sz w:val="28"/>
          <w:szCs w:val="28"/>
          <w:highlight w:val="none"/>
          <w:lang w:val="en-US" w:eastAsia="zh-CN"/>
        </w:rPr>
        <w:t>十二</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采购标的对应的中小企业划分标准所属行业一览表</w:t>
      </w:r>
    </w:p>
    <w:tbl>
      <w:tblPr>
        <w:tblStyle w:val="16"/>
        <w:tblW w:w="8822"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886"/>
        <w:gridCol w:w="3313"/>
        <w:gridCol w:w="4623"/>
      </w:tblGrid>
      <w:tr w14:paraId="4219B9C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0" w:hRule="atLeast"/>
          <w:jc w:val="center"/>
        </w:trPr>
        <w:tc>
          <w:tcPr>
            <w:tcW w:w="88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C4AAC8B">
            <w:pPr>
              <w:pBdr>
                <w:top w:val="none" w:color="000000" w:sz="0" w:space="0"/>
                <w:left w:val="none" w:color="000000" w:sz="0" w:space="0"/>
                <w:bottom w:val="none" w:color="000000" w:sz="0" w:space="0"/>
                <w:right w:val="none" w:color="000000" w:sz="0" w:space="0"/>
              </w:pBdr>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331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6AFEE29">
            <w:pPr>
              <w:pBdr>
                <w:top w:val="none" w:color="000000" w:sz="0" w:space="0"/>
                <w:left w:val="none" w:color="000000" w:sz="0" w:space="0"/>
                <w:bottom w:val="none" w:color="000000" w:sz="0" w:space="0"/>
                <w:right w:val="none" w:color="000000" w:sz="0" w:space="0"/>
              </w:pBdr>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采购标的</w:t>
            </w:r>
          </w:p>
        </w:tc>
        <w:tc>
          <w:tcPr>
            <w:tcW w:w="462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6DD1690">
            <w:pPr>
              <w:pBdr>
                <w:top w:val="none" w:color="000000" w:sz="0" w:space="0"/>
                <w:left w:val="none" w:color="000000" w:sz="0" w:space="0"/>
                <w:bottom w:val="none" w:color="000000" w:sz="0" w:space="0"/>
                <w:right w:val="none" w:color="000000" w:sz="0" w:space="0"/>
              </w:pBdr>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对应中小企业划分标准所属行业</w:t>
            </w:r>
          </w:p>
        </w:tc>
      </w:tr>
      <w:tr w14:paraId="608DF55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64" w:hRule="atLeast"/>
          <w:jc w:val="center"/>
        </w:trPr>
        <w:tc>
          <w:tcPr>
            <w:tcW w:w="88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C9AEB35">
            <w:pPr>
              <w:pBdr>
                <w:top w:val="none" w:color="000000" w:sz="0" w:space="0"/>
                <w:left w:val="none" w:color="000000" w:sz="0" w:space="0"/>
                <w:bottom w:val="none" w:color="000000" w:sz="0" w:space="0"/>
                <w:right w:val="none" w:color="000000" w:sz="0" w:space="0"/>
              </w:pBdr>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p>
        </w:tc>
        <w:tc>
          <w:tcPr>
            <w:tcW w:w="331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E62CDE2">
            <w:pPr>
              <w:pBdr>
                <w:top w:val="none" w:color="000000" w:sz="0" w:space="0"/>
                <w:left w:val="none" w:color="000000" w:sz="0" w:space="0"/>
                <w:bottom w:val="none" w:color="000000" w:sz="0" w:space="0"/>
                <w:right w:val="none" w:color="000000" w:sz="0" w:space="0"/>
              </w:pBdr>
              <w:spacing w:line="3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盐城市盐都区龙冈镇卫生院2025年-2026年物业服务项目</w:t>
            </w:r>
          </w:p>
        </w:tc>
        <w:tc>
          <w:tcPr>
            <w:tcW w:w="462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0458ABC">
            <w:pPr>
              <w:pBdr>
                <w:top w:val="none" w:color="000000" w:sz="0" w:space="0"/>
                <w:left w:val="none" w:color="000000" w:sz="0" w:space="0"/>
                <w:bottom w:val="none" w:color="000000" w:sz="0" w:space="0"/>
                <w:right w:val="none" w:color="000000" w:sz="0" w:space="0"/>
              </w:pBdr>
              <w:spacing w:line="360" w:lineRule="exact"/>
              <w:ind w:firstLine="42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物业管理</w:t>
            </w:r>
          </w:p>
        </w:tc>
      </w:tr>
    </w:tbl>
    <w:p w14:paraId="79463A13">
      <w:pPr>
        <w:keepNext w:val="0"/>
        <w:keepLines w:val="0"/>
        <w:pageBreakBefore w:val="0"/>
        <w:widowControl w:val="0"/>
        <w:kinsoku/>
        <w:wordWrap/>
        <w:overflowPunct/>
        <w:autoSpaceDE/>
        <w:autoSpaceDN/>
        <w:bidi w:val="0"/>
        <w:spacing w:line="440" w:lineRule="exact"/>
        <w:ind w:left="-525" w:leftChars="-250" w:right="-525" w:rightChars="-250" w:firstLine="560" w:firstLineChars="200"/>
        <w:jc w:val="center"/>
        <w:textAlignment w:val="auto"/>
        <w:rPr>
          <w:rFonts w:hint="eastAsia" w:ascii="仿宋" w:hAnsi="仿宋" w:eastAsia="仿宋" w:cs="仿宋"/>
          <w:color w:val="auto"/>
          <w:sz w:val="28"/>
          <w:szCs w:val="28"/>
          <w:highlight w:val="none"/>
        </w:rPr>
      </w:pPr>
    </w:p>
    <w:p w14:paraId="384D2440">
      <w:pPr>
        <w:widowControl/>
        <w:spacing w:line="340" w:lineRule="exact"/>
        <w:ind w:firstLine="420"/>
        <w:rPr>
          <w:rFonts w:hint="eastAsia" w:ascii="黑体" w:hAnsi="宋体" w:eastAsia="黑体" w:cs="黑体"/>
          <w:color w:val="auto"/>
          <w:sz w:val="44"/>
          <w:szCs w:val="44"/>
          <w:highlight w:val="none"/>
        </w:rPr>
      </w:pPr>
      <w:r>
        <w:rPr>
          <w:rFonts w:hint="eastAsia" w:ascii="仿宋" w:hAnsi="仿宋" w:eastAsia="仿宋" w:cs="仿宋"/>
          <w:color w:val="auto"/>
          <w:sz w:val="28"/>
          <w:szCs w:val="28"/>
          <w:highlight w:val="none"/>
        </w:rPr>
        <w:br w:type="page"/>
      </w:r>
    </w:p>
    <w:p w14:paraId="5F7C6898">
      <w:pPr>
        <w:pStyle w:val="13"/>
        <w:spacing w:beforeAutospacing="0" w:afterAutospacing="0"/>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评标方法与评标标准</w:t>
      </w:r>
    </w:p>
    <w:p w14:paraId="2D648D58">
      <w:pPr>
        <w:pStyle w:val="13"/>
        <w:spacing w:beforeAutospacing="0" w:afterAutospacing="0"/>
        <w:jc w:val="both"/>
        <w:rPr>
          <w:color w:val="auto"/>
          <w:highlight w:val="none"/>
        </w:rPr>
      </w:pPr>
      <w:r>
        <w:rPr>
          <w:color w:val="auto"/>
          <w:highlight w:val="none"/>
        </w:rPr>
        <w:t> </w:t>
      </w:r>
    </w:p>
    <w:p w14:paraId="7EAE876C">
      <w:pPr>
        <w:pStyle w:val="13"/>
        <w:keepNext w:val="0"/>
        <w:keepLines w:val="0"/>
        <w:pageBreakBefore w:val="0"/>
        <w:widowControl w:val="0"/>
        <w:kinsoku/>
        <w:wordWrap/>
        <w:overflowPunct/>
        <w:topLinePunct w:val="0"/>
        <w:autoSpaceDE/>
        <w:autoSpaceDN/>
        <w:bidi w:val="0"/>
        <w:spacing w:before="120" w:beforeAutospacing="0" w:after="120" w:afterAutospacing="0" w:line="0" w:lineRule="atLeast"/>
        <w:ind w:left="-525" w:leftChars="-250" w:right="-525" w:rightChars="-25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一、定标原则</w:t>
      </w:r>
    </w:p>
    <w:p w14:paraId="5486D9BF">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hint="eastAsia" w:ascii="仿宋" w:hAnsi="仿宋" w:eastAsia="仿宋" w:cs="仿宋"/>
          <w:color w:val="auto"/>
          <w:sz w:val="28"/>
          <w:szCs w:val="28"/>
          <w:highlight w:val="none"/>
        </w:rPr>
        <w:t>。</w:t>
      </w:r>
    </w:p>
    <w:p w14:paraId="1AB78249">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政府采购政策功能落实</w:t>
      </w:r>
    </w:p>
    <w:p w14:paraId="293BBD3F">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1、小微型企业价格扣除</w:t>
      </w:r>
    </w:p>
    <w:p w14:paraId="6AF63062">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（1）本项目为专门面向中小企业采购，不再对小型和微型企业报价给予价格扣除。</w:t>
      </w:r>
    </w:p>
    <w:p w14:paraId="0298928B">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（2）供应商需按照采购文件的要求提供相应的《中小企业声明函》。</w:t>
      </w:r>
    </w:p>
    <w:p w14:paraId="0F2F677D">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（3）企业标准请参照《关于印发中小企业划型标准规定的通知》（工信部联企业[2011]300号）文件规定自行填写。</w:t>
      </w:r>
    </w:p>
    <w:p w14:paraId="614A393A">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2、残疾人福利单位价格扣除</w:t>
      </w:r>
    </w:p>
    <w:p w14:paraId="765C3F6E">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（1）本项目对残疾人福利性单位视同小型、微型企业。</w:t>
      </w:r>
    </w:p>
    <w:p w14:paraId="7DB7C2DD">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（2）残疾人福利单位需按照采购文件的要求提供《残疾人福利性单位声明函》。</w:t>
      </w:r>
    </w:p>
    <w:p w14:paraId="20CAC0B2">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（3）残疾人福利单位标准请参照《关于促进残疾人就业政府采购政策的通知》（财库〔2017〕141号）。</w:t>
      </w:r>
    </w:p>
    <w:p w14:paraId="00D11C21">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3、监狱和戒毒企业价格扣除</w:t>
      </w:r>
    </w:p>
    <w:p w14:paraId="4D84015D">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（1）本项目对监狱和戒毒企业（简称监狱企业）视同小型、微型企业。</w:t>
      </w:r>
    </w:p>
    <w:p w14:paraId="7927D56F">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（2）监狱企业参加政府采购活动时，需提供由省级以上监狱管理局、戒毒管理局(含新疆生产建设兵团)出具的属于监狱企业的证明文件。供应商如不提供上述证明文件，价格将不做相应扣除。</w:t>
      </w:r>
    </w:p>
    <w:p w14:paraId="07B427B1">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（3）监狱企业标准请参照《关于政府采购支持监狱企业发展有关问题的通知》（财库[2014]68号）。</w:t>
      </w:r>
    </w:p>
    <w:p w14:paraId="5198C5B9">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4、残疾人福利单位、监狱企业属于小型、微型企业的，不重复享受政策。</w:t>
      </w:r>
    </w:p>
    <w:p w14:paraId="2E514285">
      <w:pPr>
        <w:pStyle w:val="13"/>
        <w:keepNext w:val="0"/>
        <w:keepLines w:val="0"/>
        <w:pageBreakBefore w:val="0"/>
        <w:widowControl w:val="0"/>
        <w:kinsoku/>
        <w:wordWrap/>
        <w:overflowPunct/>
        <w:topLinePunct w:val="0"/>
        <w:autoSpaceDE/>
        <w:autoSpaceDN/>
        <w:bidi w:val="0"/>
        <w:spacing w:before="120" w:beforeAutospacing="0" w:after="120" w:afterAutospacing="0" w:line="0" w:lineRule="atLeast"/>
        <w:ind w:left="-525" w:leftChars="-250" w:right="-525" w:rightChars="-250"/>
        <w:textAlignment w:val="auto"/>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二、</w:t>
      </w:r>
      <w:r>
        <w:rPr>
          <w:rFonts w:hint="eastAsia" w:ascii="仿宋" w:hAnsi="仿宋" w:eastAsia="仿宋" w:cs="仿宋"/>
          <w:b/>
          <w:color w:val="auto"/>
          <w:sz w:val="28"/>
          <w:szCs w:val="28"/>
          <w:highlight w:val="none"/>
        </w:rPr>
        <w:t>评标方法与评标标准</w:t>
      </w:r>
    </w:p>
    <w:p w14:paraId="7F998C11">
      <w:pPr>
        <w:keepNext w:val="0"/>
        <w:keepLines w:val="0"/>
        <w:pageBreakBefore w:val="0"/>
        <w:widowControl w:val="0"/>
        <w:kinsoku/>
        <w:wordWrap/>
        <w:overflowPunct/>
        <w:topLinePunct w:val="0"/>
        <w:autoSpaceDE/>
        <w:autoSpaceDN/>
        <w:bidi w:val="0"/>
        <w:adjustRightInd w:val="0"/>
        <w:snapToGrid w:val="0"/>
        <w:spacing w:line="360" w:lineRule="auto"/>
        <w:ind w:left="-525" w:leftChars="-250" w:right="-525" w:rightChars="-250"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本项目评分总分值为100分。</w:t>
      </w:r>
    </w:p>
    <w:tbl>
      <w:tblPr>
        <w:tblStyle w:val="16"/>
        <w:tblW w:w="10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447"/>
        <w:gridCol w:w="887"/>
        <w:gridCol w:w="1273"/>
        <w:gridCol w:w="720"/>
        <w:gridCol w:w="7027"/>
      </w:tblGrid>
      <w:tr w14:paraId="7A029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85" w:hRule="atLeast"/>
          <w:jc w:val="center"/>
        </w:trPr>
        <w:tc>
          <w:tcPr>
            <w:tcW w:w="447" w:type="dxa"/>
            <w:shd w:val="clear" w:color="auto" w:fill="FFFFFF"/>
            <w:tcMar>
              <w:top w:w="0" w:type="dxa"/>
              <w:left w:w="108" w:type="dxa"/>
              <w:bottom w:w="0" w:type="dxa"/>
              <w:right w:w="108" w:type="dxa"/>
            </w:tcMar>
            <w:vAlign w:val="center"/>
          </w:tcPr>
          <w:p w14:paraId="66500EE4">
            <w:pPr>
              <w:spacing w:line="360" w:lineRule="exact"/>
              <w:jc w:val="center"/>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rPr>
              <w:t>序</w:t>
            </w:r>
            <w:r>
              <w:rPr>
                <w:rFonts w:hint="eastAsia" w:ascii="仿宋" w:hAnsi="仿宋" w:eastAsia="仿宋" w:cs="仿宋"/>
                <w:b/>
                <w:color w:val="auto"/>
                <w:sz w:val="24"/>
                <w:highlight w:val="none"/>
                <w:lang w:val="en-US" w:eastAsia="zh-CN"/>
              </w:rPr>
              <w:t>号</w:t>
            </w:r>
          </w:p>
        </w:tc>
        <w:tc>
          <w:tcPr>
            <w:tcW w:w="887" w:type="dxa"/>
            <w:shd w:val="clear" w:color="auto" w:fill="FFFFFF"/>
            <w:vAlign w:val="center"/>
          </w:tcPr>
          <w:p w14:paraId="5E561181">
            <w:pPr>
              <w:spacing w:line="360" w:lineRule="exact"/>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评分项</w:t>
            </w:r>
          </w:p>
        </w:tc>
        <w:tc>
          <w:tcPr>
            <w:tcW w:w="1273" w:type="dxa"/>
            <w:shd w:val="clear" w:color="auto" w:fill="FFFFFF"/>
            <w:tcMar>
              <w:top w:w="0" w:type="dxa"/>
              <w:left w:w="108" w:type="dxa"/>
              <w:bottom w:w="0" w:type="dxa"/>
              <w:right w:w="108" w:type="dxa"/>
            </w:tcMar>
            <w:vAlign w:val="center"/>
          </w:tcPr>
          <w:p w14:paraId="70BDA83E">
            <w:pPr>
              <w:spacing w:line="360" w:lineRule="exact"/>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评分因素</w:t>
            </w:r>
          </w:p>
        </w:tc>
        <w:tc>
          <w:tcPr>
            <w:tcW w:w="720" w:type="dxa"/>
            <w:shd w:val="clear" w:color="auto" w:fill="FFFFFF"/>
            <w:vAlign w:val="center"/>
          </w:tcPr>
          <w:p w14:paraId="6835A0C5">
            <w:pPr>
              <w:spacing w:line="360" w:lineRule="exact"/>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分值</w:t>
            </w:r>
          </w:p>
        </w:tc>
        <w:tc>
          <w:tcPr>
            <w:tcW w:w="7027" w:type="dxa"/>
            <w:shd w:val="clear" w:color="auto" w:fill="FFFFFF"/>
            <w:tcMar>
              <w:top w:w="0" w:type="dxa"/>
              <w:left w:w="108" w:type="dxa"/>
              <w:bottom w:w="0" w:type="dxa"/>
              <w:right w:w="108" w:type="dxa"/>
            </w:tcMar>
            <w:vAlign w:val="center"/>
          </w:tcPr>
          <w:p w14:paraId="6AA1B448">
            <w:pPr>
              <w:spacing w:line="360" w:lineRule="exact"/>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评分准则</w:t>
            </w:r>
          </w:p>
        </w:tc>
      </w:tr>
      <w:tr w14:paraId="76B8E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36" w:hRule="atLeast"/>
          <w:jc w:val="center"/>
        </w:trPr>
        <w:tc>
          <w:tcPr>
            <w:tcW w:w="447" w:type="dxa"/>
            <w:shd w:val="clear" w:color="auto" w:fill="FFFFFF"/>
            <w:tcMar>
              <w:top w:w="0" w:type="dxa"/>
              <w:left w:w="108" w:type="dxa"/>
              <w:bottom w:w="0" w:type="dxa"/>
              <w:right w:w="108" w:type="dxa"/>
            </w:tcMar>
            <w:vAlign w:val="center"/>
          </w:tcPr>
          <w:p w14:paraId="7AA8B950">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一</w:t>
            </w:r>
          </w:p>
        </w:tc>
        <w:tc>
          <w:tcPr>
            <w:tcW w:w="887" w:type="dxa"/>
            <w:shd w:val="clear" w:color="auto" w:fill="FFFFFF"/>
            <w:vAlign w:val="center"/>
          </w:tcPr>
          <w:p w14:paraId="59B37A54">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报价</w:t>
            </w:r>
          </w:p>
          <w:p w14:paraId="64EF1CC1">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30</w:t>
            </w:r>
            <w:r>
              <w:rPr>
                <w:rFonts w:hint="eastAsia" w:ascii="仿宋" w:hAnsi="仿宋" w:eastAsia="仿宋" w:cs="仿宋"/>
                <w:color w:val="auto"/>
                <w:sz w:val="24"/>
                <w:highlight w:val="none"/>
              </w:rPr>
              <w:t>分）</w:t>
            </w:r>
          </w:p>
        </w:tc>
        <w:tc>
          <w:tcPr>
            <w:tcW w:w="1273" w:type="dxa"/>
            <w:shd w:val="clear" w:color="auto" w:fill="FFFFFF"/>
            <w:tcMar>
              <w:top w:w="0" w:type="dxa"/>
              <w:left w:w="108" w:type="dxa"/>
              <w:bottom w:w="0" w:type="dxa"/>
              <w:right w:w="108" w:type="dxa"/>
            </w:tcMar>
            <w:vAlign w:val="center"/>
          </w:tcPr>
          <w:p w14:paraId="51331F6A">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投标报价</w:t>
            </w:r>
          </w:p>
        </w:tc>
        <w:tc>
          <w:tcPr>
            <w:tcW w:w="720" w:type="dxa"/>
            <w:shd w:val="clear" w:color="auto" w:fill="FFFFFF"/>
            <w:vAlign w:val="center"/>
          </w:tcPr>
          <w:p w14:paraId="39602A8D">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30</w:t>
            </w:r>
            <w:r>
              <w:rPr>
                <w:rFonts w:hint="eastAsia" w:ascii="仿宋" w:hAnsi="仿宋" w:eastAsia="仿宋" w:cs="仿宋"/>
                <w:color w:val="auto"/>
                <w:sz w:val="24"/>
                <w:highlight w:val="none"/>
              </w:rPr>
              <w:t>分</w:t>
            </w:r>
          </w:p>
        </w:tc>
        <w:tc>
          <w:tcPr>
            <w:tcW w:w="7027" w:type="dxa"/>
            <w:shd w:val="clear" w:color="auto" w:fill="FFFFFF"/>
            <w:tcMar>
              <w:top w:w="0" w:type="dxa"/>
              <w:left w:w="108" w:type="dxa"/>
              <w:bottom w:w="0" w:type="dxa"/>
              <w:right w:w="108" w:type="dxa"/>
            </w:tcMar>
          </w:tcPr>
          <w:p w14:paraId="16F40E17">
            <w:pPr>
              <w:spacing w:line="340" w:lineRule="exact"/>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满足招标文件要求且投标价格最低的投标报价为评标基准价，其价格分为满分。其他投标人的价格分统一按照下列公式计算：投标报价得分=(评标基准价／投标报价)×</w:t>
            </w:r>
            <w:r>
              <w:rPr>
                <w:rFonts w:hint="eastAsia" w:ascii="仿宋" w:hAnsi="仿宋" w:eastAsia="仿宋" w:cs="仿宋"/>
                <w:color w:val="auto"/>
                <w:sz w:val="24"/>
                <w:highlight w:val="none"/>
                <w:lang w:val="en-US" w:eastAsia="zh-CN"/>
              </w:rPr>
              <w:t>30</w:t>
            </w:r>
            <w:r>
              <w:rPr>
                <w:rFonts w:hint="eastAsia" w:ascii="仿宋" w:hAnsi="仿宋" w:eastAsia="仿宋" w:cs="仿宋"/>
                <w:color w:val="auto"/>
                <w:sz w:val="24"/>
                <w:highlight w:val="none"/>
              </w:rPr>
              <w:t>（该结果四舍五入，保留两位小数）</w:t>
            </w:r>
          </w:p>
        </w:tc>
      </w:tr>
      <w:tr w14:paraId="03491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866" w:hRule="atLeast"/>
          <w:jc w:val="center"/>
        </w:trPr>
        <w:tc>
          <w:tcPr>
            <w:tcW w:w="447" w:type="dxa"/>
            <w:vMerge w:val="restart"/>
            <w:shd w:val="clear" w:color="auto" w:fill="FFFFFF"/>
            <w:tcMar>
              <w:top w:w="0" w:type="dxa"/>
              <w:left w:w="108" w:type="dxa"/>
              <w:bottom w:w="0" w:type="dxa"/>
              <w:right w:w="108" w:type="dxa"/>
            </w:tcMar>
            <w:vAlign w:val="center"/>
          </w:tcPr>
          <w:p w14:paraId="4D0D4E6B">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二</w:t>
            </w:r>
          </w:p>
        </w:tc>
        <w:tc>
          <w:tcPr>
            <w:tcW w:w="887" w:type="dxa"/>
            <w:vMerge w:val="restart"/>
            <w:shd w:val="clear" w:color="auto" w:fill="FFFFFF"/>
            <w:vAlign w:val="center"/>
          </w:tcPr>
          <w:p w14:paraId="0E1F810B">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服务方案</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56</w:t>
            </w:r>
            <w:r>
              <w:rPr>
                <w:rFonts w:hint="eastAsia" w:ascii="仿宋" w:hAnsi="仿宋" w:eastAsia="仿宋" w:cs="仿宋"/>
                <w:color w:val="auto"/>
                <w:sz w:val="24"/>
                <w:highlight w:val="none"/>
              </w:rPr>
              <w:t>分）</w:t>
            </w:r>
          </w:p>
        </w:tc>
        <w:tc>
          <w:tcPr>
            <w:tcW w:w="1273" w:type="dxa"/>
            <w:shd w:val="clear" w:color="auto" w:fill="FFFFFF"/>
            <w:tcMar>
              <w:top w:w="0" w:type="dxa"/>
              <w:left w:w="108" w:type="dxa"/>
              <w:bottom w:w="0" w:type="dxa"/>
              <w:right w:w="108" w:type="dxa"/>
            </w:tcMar>
            <w:vAlign w:val="center"/>
          </w:tcPr>
          <w:p w14:paraId="4352C27D">
            <w:pPr>
              <w:adjustRightInd w:val="0"/>
              <w:snapToGrid w:val="0"/>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符合政策法规的整体设想及策划</w:t>
            </w:r>
          </w:p>
        </w:tc>
        <w:tc>
          <w:tcPr>
            <w:tcW w:w="720" w:type="dxa"/>
            <w:shd w:val="clear" w:color="auto" w:fill="FFFFFF"/>
            <w:vAlign w:val="center"/>
          </w:tcPr>
          <w:p w14:paraId="61922FF8">
            <w:pPr>
              <w:spacing w:line="360" w:lineRule="exact"/>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分</w:t>
            </w:r>
          </w:p>
        </w:tc>
        <w:tc>
          <w:tcPr>
            <w:tcW w:w="7027" w:type="dxa"/>
            <w:shd w:val="clear" w:color="auto" w:fill="FFFFFF"/>
            <w:tcMar>
              <w:top w:w="0" w:type="dxa"/>
              <w:left w:w="108" w:type="dxa"/>
              <w:bottom w:w="0" w:type="dxa"/>
              <w:right w:w="108" w:type="dxa"/>
            </w:tcMar>
            <w:vAlign w:val="center"/>
          </w:tcPr>
          <w:p w14:paraId="531A5DF1">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根据第四章第六条第1款中“符合政策法规的整体设想及策划”要求，提供细致完整、措施有力、针对性和操作性强的符合政策法规的整体设想及策划，评委根据投标人提供的符合政策法规的整体设想及策划进行综合评分。优于项目需求得8分，满足项目需求得7分，内容略有缺失、合理性及可行性有欠缺的得6分，不提供得0分。</w:t>
            </w:r>
          </w:p>
          <w:p w14:paraId="43483F0C">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328CD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jc w:val="center"/>
        </w:trPr>
        <w:tc>
          <w:tcPr>
            <w:tcW w:w="447" w:type="dxa"/>
            <w:vMerge w:val="continue"/>
            <w:shd w:val="clear" w:color="auto" w:fill="FFFFFF"/>
            <w:tcMar>
              <w:top w:w="0" w:type="dxa"/>
              <w:left w:w="108" w:type="dxa"/>
              <w:bottom w:w="0" w:type="dxa"/>
              <w:right w:w="108" w:type="dxa"/>
            </w:tcMar>
            <w:vAlign w:val="center"/>
          </w:tcPr>
          <w:p w14:paraId="0993B810">
            <w:pPr>
              <w:spacing w:line="360" w:lineRule="exact"/>
              <w:jc w:val="center"/>
              <w:rPr>
                <w:rFonts w:hint="eastAsia" w:ascii="仿宋" w:hAnsi="仿宋" w:eastAsia="仿宋" w:cs="仿宋"/>
                <w:color w:val="auto"/>
                <w:sz w:val="24"/>
                <w:highlight w:val="none"/>
              </w:rPr>
            </w:pPr>
          </w:p>
        </w:tc>
        <w:tc>
          <w:tcPr>
            <w:tcW w:w="887" w:type="dxa"/>
            <w:vMerge w:val="continue"/>
            <w:shd w:val="clear" w:color="auto" w:fill="FFFFFF"/>
            <w:vAlign w:val="center"/>
          </w:tcPr>
          <w:p w14:paraId="3BC9CB92">
            <w:pPr>
              <w:spacing w:line="360" w:lineRule="exact"/>
              <w:jc w:val="center"/>
              <w:rPr>
                <w:rFonts w:hint="eastAsia" w:ascii="仿宋" w:hAnsi="仿宋" w:eastAsia="仿宋" w:cs="仿宋"/>
                <w:color w:val="auto"/>
                <w:sz w:val="24"/>
                <w:highlight w:val="none"/>
              </w:rPr>
            </w:pPr>
          </w:p>
        </w:tc>
        <w:tc>
          <w:tcPr>
            <w:tcW w:w="1273" w:type="dxa"/>
            <w:shd w:val="clear" w:color="auto" w:fill="FFFFFF"/>
            <w:tcMar>
              <w:top w:w="0" w:type="dxa"/>
              <w:left w:w="108" w:type="dxa"/>
              <w:bottom w:w="0" w:type="dxa"/>
              <w:right w:w="108" w:type="dxa"/>
            </w:tcMar>
            <w:vAlign w:val="center"/>
          </w:tcPr>
          <w:p w14:paraId="783E7B7C">
            <w:pPr>
              <w:spacing w:line="360" w:lineRule="exact"/>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2.组织机构设置、人员配备、培训与管理</w:t>
            </w:r>
          </w:p>
        </w:tc>
        <w:tc>
          <w:tcPr>
            <w:tcW w:w="720" w:type="dxa"/>
            <w:shd w:val="clear" w:color="auto" w:fill="FFFFFF"/>
            <w:vAlign w:val="center"/>
          </w:tcPr>
          <w:p w14:paraId="29CC0909">
            <w:pPr>
              <w:spacing w:line="360" w:lineRule="exact"/>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8分</w:t>
            </w:r>
          </w:p>
        </w:tc>
        <w:tc>
          <w:tcPr>
            <w:tcW w:w="7027" w:type="dxa"/>
            <w:shd w:val="clear" w:color="auto" w:fill="FFFFFF"/>
            <w:tcMar>
              <w:top w:w="0" w:type="dxa"/>
              <w:left w:w="108" w:type="dxa"/>
              <w:bottom w:w="0" w:type="dxa"/>
              <w:right w:w="108" w:type="dxa"/>
            </w:tcMar>
            <w:vAlign w:val="center"/>
          </w:tcPr>
          <w:p w14:paraId="4E9C6EE1">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根据第四章第六条第2款中“组织机构设置、人员配备、培训与管理”要求，提供细致完整、措施有力、针对性和操作性强的组织机构设置、人员配备、培训与管理，评委根据投标人提供的组织机构设置、人员配备、培训与管理进行综合评分。优于项目需求得8分，满足项目需求得7分，内容略有缺失、合理性及可行性有欠缺的得6分，不提供得0分。</w:t>
            </w:r>
          </w:p>
          <w:p w14:paraId="0A08FA0F">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58F96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98" w:hRule="atLeast"/>
          <w:jc w:val="center"/>
        </w:trPr>
        <w:tc>
          <w:tcPr>
            <w:tcW w:w="447" w:type="dxa"/>
            <w:vMerge w:val="continue"/>
            <w:shd w:val="clear" w:color="auto" w:fill="FFFFFF"/>
            <w:tcMar>
              <w:top w:w="0" w:type="dxa"/>
              <w:left w:w="108" w:type="dxa"/>
              <w:bottom w:w="0" w:type="dxa"/>
              <w:right w:w="108" w:type="dxa"/>
            </w:tcMar>
            <w:vAlign w:val="center"/>
          </w:tcPr>
          <w:p w14:paraId="607512C5">
            <w:pPr>
              <w:spacing w:line="360" w:lineRule="exact"/>
              <w:jc w:val="center"/>
              <w:rPr>
                <w:rFonts w:hint="eastAsia" w:ascii="仿宋" w:hAnsi="仿宋" w:eastAsia="仿宋" w:cs="仿宋"/>
                <w:color w:val="auto"/>
                <w:sz w:val="24"/>
                <w:highlight w:val="none"/>
              </w:rPr>
            </w:pPr>
          </w:p>
        </w:tc>
        <w:tc>
          <w:tcPr>
            <w:tcW w:w="887" w:type="dxa"/>
            <w:vMerge w:val="continue"/>
            <w:shd w:val="clear" w:color="auto" w:fill="FFFFFF"/>
            <w:vAlign w:val="center"/>
          </w:tcPr>
          <w:p w14:paraId="09095413">
            <w:pPr>
              <w:spacing w:line="360" w:lineRule="exact"/>
              <w:jc w:val="center"/>
              <w:rPr>
                <w:rFonts w:hint="eastAsia" w:ascii="仿宋" w:hAnsi="仿宋" w:eastAsia="仿宋" w:cs="仿宋"/>
                <w:color w:val="auto"/>
                <w:sz w:val="24"/>
                <w:highlight w:val="none"/>
              </w:rPr>
            </w:pPr>
          </w:p>
        </w:tc>
        <w:tc>
          <w:tcPr>
            <w:tcW w:w="1273" w:type="dxa"/>
            <w:shd w:val="clear" w:color="auto" w:fill="FFFFFF"/>
            <w:tcMar>
              <w:top w:w="0" w:type="dxa"/>
              <w:left w:w="108" w:type="dxa"/>
              <w:bottom w:w="0" w:type="dxa"/>
              <w:right w:w="108" w:type="dxa"/>
            </w:tcMar>
            <w:vAlign w:val="center"/>
          </w:tcPr>
          <w:p w14:paraId="4F99D3A2">
            <w:pPr>
              <w:adjustRightInd w:val="0"/>
              <w:snapToGrid w:val="0"/>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3.制度的建立</w:t>
            </w:r>
          </w:p>
        </w:tc>
        <w:tc>
          <w:tcPr>
            <w:tcW w:w="720" w:type="dxa"/>
            <w:shd w:val="clear" w:color="auto" w:fill="FFFFFF"/>
            <w:vAlign w:val="center"/>
          </w:tcPr>
          <w:p w14:paraId="0DA1A956">
            <w:pPr>
              <w:adjustRightInd w:val="0"/>
              <w:snapToGrid w:val="0"/>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8分</w:t>
            </w:r>
          </w:p>
        </w:tc>
        <w:tc>
          <w:tcPr>
            <w:tcW w:w="7027" w:type="dxa"/>
            <w:shd w:val="clear" w:color="auto" w:fill="FFFFFF"/>
            <w:tcMar>
              <w:top w:w="0" w:type="dxa"/>
              <w:left w:w="108" w:type="dxa"/>
              <w:bottom w:w="0" w:type="dxa"/>
              <w:right w:w="108" w:type="dxa"/>
            </w:tcMar>
            <w:vAlign w:val="center"/>
          </w:tcPr>
          <w:p w14:paraId="71DF8E3C">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根据第四章第六条第3款中“制度的建立”要求，提供细致完整、措施有力、针对性和操作性强的制度的建立，评委根据投标人提供的制度的建立进行综合评分。优于项目需求得8分，满足项目需求得7分，内容略有缺失、合理性及可行性有欠缺的得6分，不提供得0分。</w:t>
            </w:r>
          </w:p>
          <w:p w14:paraId="075C0D7D">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5EAB8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94" w:hRule="atLeast"/>
          <w:jc w:val="center"/>
        </w:trPr>
        <w:tc>
          <w:tcPr>
            <w:tcW w:w="447" w:type="dxa"/>
            <w:vMerge w:val="continue"/>
            <w:shd w:val="clear" w:color="auto" w:fill="FFFFFF"/>
            <w:tcMar>
              <w:top w:w="0" w:type="dxa"/>
              <w:left w:w="108" w:type="dxa"/>
              <w:bottom w:w="0" w:type="dxa"/>
              <w:right w:w="108" w:type="dxa"/>
            </w:tcMar>
            <w:vAlign w:val="center"/>
          </w:tcPr>
          <w:p w14:paraId="551BA822">
            <w:pPr>
              <w:spacing w:line="360" w:lineRule="exact"/>
              <w:jc w:val="center"/>
              <w:rPr>
                <w:rFonts w:hint="eastAsia" w:ascii="仿宋" w:hAnsi="仿宋" w:eastAsia="仿宋" w:cs="仿宋"/>
                <w:color w:val="auto"/>
                <w:sz w:val="24"/>
                <w:highlight w:val="none"/>
              </w:rPr>
            </w:pPr>
          </w:p>
        </w:tc>
        <w:tc>
          <w:tcPr>
            <w:tcW w:w="887" w:type="dxa"/>
            <w:vMerge w:val="continue"/>
            <w:shd w:val="clear" w:color="auto" w:fill="FFFFFF"/>
            <w:vAlign w:val="center"/>
          </w:tcPr>
          <w:p w14:paraId="78A60735">
            <w:pPr>
              <w:spacing w:line="360" w:lineRule="exact"/>
              <w:jc w:val="center"/>
              <w:rPr>
                <w:rFonts w:hint="eastAsia" w:ascii="仿宋" w:hAnsi="仿宋" w:eastAsia="仿宋" w:cs="仿宋"/>
                <w:color w:val="auto"/>
                <w:sz w:val="24"/>
                <w:highlight w:val="none"/>
              </w:rPr>
            </w:pPr>
          </w:p>
        </w:tc>
        <w:tc>
          <w:tcPr>
            <w:tcW w:w="1273" w:type="dxa"/>
            <w:shd w:val="clear" w:color="auto" w:fill="FFFFFF"/>
            <w:tcMar>
              <w:top w:w="0" w:type="dxa"/>
              <w:left w:w="108" w:type="dxa"/>
              <w:bottom w:w="0" w:type="dxa"/>
              <w:right w:w="108" w:type="dxa"/>
            </w:tcMar>
            <w:vAlign w:val="center"/>
          </w:tcPr>
          <w:p w14:paraId="45338B0E">
            <w:pPr>
              <w:adjustRightInd w:val="0"/>
              <w:snapToGrid w:val="0"/>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4.适合本项目的各种突发事件的处理预案</w:t>
            </w:r>
          </w:p>
        </w:tc>
        <w:tc>
          <w:tcPr>
            <w:tcW w:w="720" w:type="dxa"/>
            <w:shd w:val="clear" w:color="auto" w:fill="FFFFFF"/>
            <w:vAlign w:val="center"/>
          </w:tcPr>
          <w:p w14:paraId="4512C50E">
            <w:pPr>
              <w:adjustRightInd w:val="0"/>
              <w:snapToGrid w:val="0"/>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8分</w:t>
            </w:r>
          </w:p>
        </w:tc>
        <w:tc>
          <w:tcPr>
            <w:tcW w:w="7027" w:type="dxa"/>
            <w:shd w:val="clear" w:color="auto" w:fill="FFFFFF"/>
            <w:tcMar>
              <w:top w:w="0" w:type="dxa"/>
              <w:left w:w="108" w:type="dxa"/>
              <w:bottom w:w="0" w:type="dxa"/>
              <w:right w:w="108" w:type="dxa"/>
            </w:tcMar>
            <w:vAlign w:val="center"/>
          </w:tcPr>
          <w:p w14:paraId="2C017F6F">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根据第四章第六条第4款中“适合本项目的各种突发事件的处理预案”要求，提供细致完整、措施有力、针对性和操作性强的适合本项目的各种突发事件的处理预案，评委根据投标人提供的适合本项目的各种突发事件的处理预案进行综合评分。优于项目需求得8分，满足项目需求得7分，内容略有缺失、合理性及可行性有欠缺的得6分，不提供得0分。</w:t>
            </w:r>
          </w:p>
          <w:p w14:paraId="52D397FD">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5C4DC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971" w:hRule="atLeast"/>
          <w:jc w:val="center"/>
        </w:trPr>
        <w:tc>
          <w:tcPr>
            <w:tcW w:w="447" w:type="dxa"/>
            <w:vMerge w:val="continue"/>
            <w:shd w:val="clear" w:color="auto" w:fill="FFFFFF"/>
            <w:tcMar>
              <w:top w:w="0" w:type="dxa"/>
              <w:left w:w="108" w:type="dxa"/>
              <w:bottom w:w="0" w:type="dxa"/>
              <w:right w:w="108" w:type="dxa"/>
            </w:tcMar>
            <w:vAlign w:val="center"/>
          </w:tcPr>
          <w:p w14:paraId="4EC51697">
            <w:pPr>
              <w:spacing w:line="360" w:lineRule="exact"/>
              <w:jc w:val="center"/>
              <w:rPr>
                <w:rFonts w:hint="eastAsia" w:ascii="仿宋" w:hAnsi="仿宋" w:eastAsia="仿宋" w:cs="仿宋"/>
                <w:color w:val="auto"/>
                <w:sz w:val="24"/>
                <w:highlight w:val="none"/>
              </w:rPr>
            </w:pPr>
          </w:p>
        </w:tc>
        <w:tc>
          <w:tcPr>
            <w:tcW w:w="887" w:type="dxa"/>
            <w:vMerge w:val="continue"/>
            <w:shd w:val="clear" w:color="auto" w:fill="FFFFFF"/>
            <w:vAlign w:val="center"/>
          </w:tcPr>
          <w:p w14:paraId="2933CB0B">
            <w:pPr>
              <w:spacing w:line="360" w:lineRule="exact"/>
              <w:jc w:val="center"/>
              <w:rPr>
                <w:rFonts w:hint="eastAsia" w:ascii="仿宋" w:hAnsi="仿宋" w:eastAsia="仿宋" w:cs="仿宋"/>
                <w:color w:val="auto"/>
                <w:sz w:val="24"/>
                <w:highlight w:val="none"/>
              </w:rPr>
            </w:pPr>
          </w:p>
        </w:tc>
        <w:tc>
          <w:tcPr>
            <w:tcW w:w="1273" w:type="dxa"/>
            <w:shd w:val="clear" w:color="auto" w:fill="FFFFFF"/>
            <w:tcMar>
              <w:top w:w="0" w:type="dxa"/>
              <w:left w:w="108" w:type="dxa"/>
              <w:bottom w:w="0" w:type="dxa"/>
              <w:right w:w="108" w:type="dxa"/>
            </w:tcMar>
            <w:vAlign w:val="center"/>
          </w:tcPr>
          <w:p w14:paraId="4C47A052">
            <w:pPr>
              <w:adjustRightInd w:val="0"/>
              <w:snapToGrid w:val="0"/>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5.日常管理措施</w:t>
            </w:r>
          </w:p>
        </w:tc>
        <w:tc>
          <w:tcPr>
            <w:tcW w:w="720" w:type="dxa"/>
            <w:shd w:val="clear" w:color="auto" w:fill="FFFFFF"/>
            <w:vAlign w:val="center"/>
          </w:tcPr>
          <w:p w14:paraId="2E56DCB4">
            <w:pPr>
              <w:spacing w:line="360" w:lineRule="exact"/>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8分</w:t>
            </w:r>
          </w:p>
        </w:tc>
        <w:tc>
          <w:tcPr>
            <w:tcW w:w="7027" w:type="dxa"/>
            <w:shd w:val="clear" w:color="auto" w:fill="FFFFFF"/>
            <w:tcMar>
              <w:top w:w="0" w:type="dxa"/>
              <w:left w:w="108" w:type="dxa"/>
              <w:bottom w:w="0" w:type="dxa"/>
              <w:right w:w="108" w:type="dxa"/>
            </w:tcMar>
            <w:vAlign w:val="center"/>
          </w:tcPr>
          <w:p w14:paraId="6CDF37C3">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根据第四章第六条第5款中“日常管理措施”要求，提供细致完整、措施有力、针对性和操作性强的日常管理措施，评委根据投标人提供的日常管理措施进行综合评分。优于项目需求得8分，满足项目需求得7分，内容略有缺失、合理性及可行性有欠缺的得6分，不提供得0分。</w:t>
            </w:r>
          </w:p>
          <w:p w14:paraId="26F27610">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36118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59" w:hRule="atLeast"/>
          <w:jc w:val="center"/>
        </w:trPr>
        <w:tc>
          <w:tcPr>
            <w:tcW w:w="447" w:type="dxa"/>
            <w:vMerge w:val="continue"/>
            <w:shd w:val="clear" w:color="auto" w:fill="FFFFFF"/>
            <w:tcMar>
              <w:top w:w="0" w:type="dxa"/>
              <w:left w:w="108" w:type="dxa"/>
              <w:bottom w:w="0" w:type="dxa"/>
              <w:right w:w="108" w:type="dxa"/>
            </w:tcMar>
            <w:vAlign w:val="center"/>
          </w:tcPr>
          <w:p w14:paraId="2FE5F175">
            <w:pPr>
              <w:spacing w:line="360" w:lineRule="exact"/>
              <w:jc w:val="center"/>
              <w:rPr>
                <w:rFonts w:hint="eastAsia" w:ascii="仿宋" w:hAnsi="仿宋" w:eastAsia="仿宋" w:cs="仿宋"/>
                <w:color w:val="auto"/>
                <w:sz w:val="24"/>
                <w:highlight w:val="none"/>
              </w:rPr>
            </w:pPr>
          </w:p>
        </w:tc>
        <w:tc>
          <w:tcPr>
            <w:tcW w:w="887" w:type="dxa"/>
            <w:vMerge w:val="continue"/>
            <w:shd w:val="clear" w:color="auto" w:fill="FFFFFF"/>
            <w:vAlign w:val="center"/>
          </w:tcPr>
          <w:p w14:paraId="1801CE29">
            <w:pPr>
              <w:spacing w:line="360" w:lineRule="exact"/>
              <w:jc w:val="center"/>
              <w:rPr>
                <w:rFonts w:hint="eastAsia" w:ascii="仿宋" w:hAnsi="仿宋" w:eastAsia="仿宋" w:cs="仿宋"/>
                <w:color w:val="auto"/>
                <w:sz w:val="24"/>
                <w:highlight w:val="none"/>
              </w:rPr>
            </w:pPr>
          </w:p>
        </w:tc>
        <w:tc>
          <w:tcPr>
            <w:tcW w:w="1273" w:type="dxa"/>
            <w:shd w:val="clear" w:color="auto" w:fill="FFFFFF"/>
            <w:tcMar>
              <w:top w:w="0" w:type="dxa"/>
              <w:left w:w="108" w:type="dxa"/>
              <w:bottom w:w="0" w:type="dxa"/>
              <w:right w:w="108" w:type="dxa"/>
            </w:tcMar>
            <w:vAlign w:val="center"/>
          </w:tcPr>
          <w:p w14:paraId="56512359">
            <w:pPr>
              <w:adjustRightInd w:val="0"/>
              <w:snapToGrid w:val="0"/>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6.医疗废物处置方案</w:t>
            </w:r>
          </w:p>
        </w:tc>
        <w:tc>
          <w:tcPr>
            <w:tcW w:w="720" w:type="dxa"/>
            <w:shd w:val="clear" w:color="auto" w:fill="FFFFFF"/>
            <w:vAlign w:val="center"/>
          </w:tcPr>
          <w:p w14:paraId="05039A6C">
            <w:pPr>
              <w:spacing w:line="360" w:lineRule="exact"/>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8分</w:t>
            </w:r>
          </w:p>
        </w:tc>
        <w:tc>
          <w:tcPr>
            <w:tcW w:w="7027" w:type="dxa"/>
            <w:shd w:val="clear" w:color="auto" w:fill="FFFFFF"/>
            <w:tcMar>
              <w:top w:w="0" w:type="dxa"/>
              <w:left w:w="108" w:type="dxa"/>
              <w:bottom w:w="0" w:type="dxa"/>
              <w:right w:w="108" w:type="dxa"/>
            </w:tcMar>
            <w:vAlign w:val="center"/>
          </w:tcPr>
          <w:p w14:paraId="06D39756">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根据第四章第六条第6款中“医疗废物处置方案”要求，提供细致完整、措施有力、针对性和操作性强的合同到期时交接方案，评委根据投标人提供的医疗废物处置方案进行综合评分。优于项目需求得8分，满足项目需求得7分，内容略有缺失、合理性及可行性有欠缺的得6分，不提供得0分。</w:t>
            </w:r>
          </w:p>
          <w:p w14:paraId="58B0D212">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20B63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21" w:hRule="atLeast"/>
          <w:jc w:val="center"/>
        </w:trPr>
        <w:tc>
          <w:tcPr>
            <w:tcW w:w="447" w:type="dxa"/>
            <w:vMerge w:val="continue"/>
            <w:shd w:val="clear" w:color="auto" w:fill="FFFFFF"/>
            <w:tcMar>
              <w:top w:w="0" w:type="dxa"/>
              <w:left w:w="108" w:type="dxa"/>
              <w:bottom w:w="0" w:type="dxa"/>
              <w:right w:w="108" w:type="dxa"/>
            </w:tcMar>
            <w:vAlign w:val="center"/>
          </w:tcPr>
          <w:p w14:paraId="4298B392">
            <w:pPr>
              <w:spacing w:line="360" w:lineRule="exact"/>
              <w:jc w:val="center"/>
              <w:rPr>
                <w:rFonts w:hint="eastAsia" w:ascii="仿宋" w:hAnsi="仿宋" w:eastAsia="仿宋" w:cs="仿宋"/>
                <w:color w:val="auto"/>
                <w:sz w:val="24"/>
                <w:highlight w:val="none"/>
              </w:rPr>
            </w:pPr>
          </w:p>
        </w:tc>
        <w:tc>
          <w:tcPr>
            <w:tcW w:w="887" w:type="dxa"/>
            <w:vMerge w:val="continue"/>
            <w:shd w:val="clear" w:color="auto" w:fill="FFFFFF"/>
            <w:vAlign w:val="center"/>
          </w:tcPr>
          <w:p w14:paraId="407F8266">
            <w:pPr>
              <w:spacing w:line="360" w:lineRule="exact"/>
              <w:jc w:val="center"/>
              <w:rPr>
                <w:rFonts w:hint="eastAsia" w:ascii="仿宋" w:hAnsi="仿宋" w:eastAsia="仿宋" w:cs="仿宋"/>
                <w:color w:val="auto"/>
                <w:sz w:val="24"/>
                <w:highlight w:val="none"/>
              </w:rPr>
            </w:pPr>
          </w:p>
        </w:tc>
        <w:tc>
          <w:tcPr>
            <w:tcW w:w="1273" w:type="dxa"/>
            <w:shd w:val="clear" w:color="auto" w:fill="FFFFFF"/>
            <w:tcMar>
              <w:top w:w="0" w:type="dxa"/>
              <w:left w:w="108" w:type="dxa"/>
              <w:bottom w:w="0" w:type="dxa"/>
              <w:right w:w="108" w:type="dxa"/>
            </w:tcMar>
            <w:vAlign w:val="center"/>
          </w:tcPr>
          <w:p w14:paraId="22A94E00">
            <w:pPr>
              <w:adjustRightInd w:val="0"/>
              <w:snapToGrid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合同到期时交接</w:t>
            </w:r>
            <w:r>
              <w:rPr>
                <w:rFonts w:hint="eastAsia" w:ascii="仿宋" w:hAnsi="仿宋" w:eastAsia="仿宋" w:cs="仿宋"/>
                <w:color w:val="auto"/>
                <w:sz w:val="24"/>
                <w:highlight w:val="none"/>
                <w:lang w:val="en-US" w:eastAsia="zh-CN"/>
              </w:rPr>
              <w:t>方案</w:t>
            </w:r>
          </w:p>
        </w:tc>
        <w:tc>
          <w:tcPr>
            <w:tcW w:w="720" w:type="dxa"/>
            <w:shd w:val="clear" w:color="auto" w:fill="FFFFFF"/>
            <w:vAlign w:val="center"/>
          </w:tcPr>
          <w:p w14:paraId="01EB60D3">
            <w:pPr>
              <w:adjustRightInd w:val="0"/>
              <w:snapToGrid w:val="0"/>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分</w:t>
            </w:r>
          </w:p>
        </w:tc>
        <w:tc>
          <w:tcPr>
            <w:tcW w:w="7027" w:type="dxa"/>
            <w:shd w:val="clear" w:color="auto" w:fill="FFFFFF"/>
            <w:tcMar>
              <w:top w:w="0" w:type="dxa"/>
              <w:left w:w="108" w:type="dxa"/>
              <w:bottom w:w="0" w:type="dxa"/>
              <w:right w:w="108" w:type="dxa"/>
            </w:tcMar>
            <w:vAlign w:val="center"/>
          </w:tcPr>
          <w:p w14:paraId="30AD85F1">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根据第四章第六条第7款中“合同到期时交接方案”要求，提供细致完整、措施有力、针对性和操作性强的合同到期时交接方案，评委根据投标人提供的合同到期时交接方案进行综合评分。优于项目需求得8分，满足项目需求得7分，内容略有缺失、合理性及可行性有欠缺的得6分，不提供得0分。</w:t>
            </w:r>
          </w:p>
          <w:p w14:paraId="02BDA318">
            <w:pPr>
              <w:spacing w:line="340" w:lineRule="exact"/>
              <w:rPr>
                <w:rFonts w:hint="eastAsia" w:ascii="仿宋" w:hAnsi="仿宋" w:eastAsia="仿宋" w:cs="仿宋"/>
                <w:color w:val="auto"/>
                <w:sz w:val="24"/>
                <w:highlight w:val="none"/>
              </w:rPr>
            </w:pPr>
            <w:r>
              <w:rPr>
                <w:rFonts w:hint="eastAsia" w:ascii="仿宋" w:hAnsi="仿宋" w:eastAsia="仿宋" w:cs="仿宋"/>
                <w:color w:val="auto"/>
                <w:kern w:val="2"/>
                <w:sz w:val="24"/>
                <w:szCs w:val="21"/>
                <w:highlight w:val="none"/>
                <w:lang w:val="en-US" w:eastAsia="zh-CN" w:bidi="ar-SA"/>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719C5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0" w:hRule="atLeast"/>
          <w:jc w:val="center"/>
        </w:trPr>
        <w:tc>
          <w:tcPr>
            <w:tcW w:w="447" w:type="dxa"/>
            <w:vMerge w:val="restart"/>
            <w:shd w:val="clear" w:color="auto" w:fill="FFFFFF"/>
            <w:tcMar>
              <w:top w:w="0" w:type="dxa"/>
              <w:left w:w="108" w:type="dxa"/>
              <w:bottom w:w="0" w:type="dxa"/>
              <w:right w:w="108" w:type="dxa"/>
            </w:tcMar>
            <w:vAlign w:val="center"/>
          </w:tcPr>
          <w:p w14:paraId="47F6B461">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三</w:t>
            </w:r>
          </w:p>
        </w:tc>
        <w:tc>
          <w:tcPr>
            <w:tcW w:w="2160" w:type="dxa"/>
            <w:gridSpan w:val="2"/>
            <w:vMerge w:val="restart"/>
            <w:shd w:val="clear" w:color="auto" w:fill="FFFFFF"/>
            <w:vAlign w:val="center"/>
          </w:tcPr>
          <w:p w14:paraId="47F6B492">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企业综合实力</w:t>
            </w:r>
          </w:p>
          <w:p w14:paraId="327CCDD3">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14</w:t>
            </w:r>
            <w:r>
              <w:rPr>
                <w:rFonts w:hint="eastAsia" w:ascii="仿宋" w:hAnsi="仿宋" w:eastAsia="仿宋" w:cs="仿宋"/>
                <w:color w:val="auto"/>
                <w:sz w:val="24"/>
                <w:highlight w:val="none"/>
              </w:rPr>
              <w:t>分）</w:t>
            </w:r>
          </w:p>
        </w:tc>
        <w:tc>
          <w:tcPr>
            <w:tcW w:w="720" w:type="dxa"/>
            <w:shd w:val="clear" w:color="auto" w:fill="FFFFFF"/>
            <w:vAlign w:val="center"/>
          </w:tcPr>
          <w:p w14:paraId="34FBA99D">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分</w:t>
            </w:r>
          </w:p>
        </w:tc>
        <w:tc>
          <w:tcPr>
            <w:tcW w:w="7027" w:type="dxa"/>
            <w:shd w:val="clear" w:color="auto" w:fill="FFFFFF"/>
            <w:tcMar>
              <w:top w:w="0" w:type="dxa"/>
              <w:left w:w="108" w:type="dxa"/>
              <w:bottom w:w="0" w:type="dxa"/>
              <w:right w:w="108" w:type="dxa"/>
            </w:tcMar>
            <w:vAlign w:val="top"/>
          </w:tcPr>
          <w:p w14:paraId="1372AAD0">
            <w:pPr>
              <w:pStyle w:val="25"/>
              <w:spacing w:line="340" w:lineRule="exact"/>
              <w:ind w:firstLine="0" w:firstLineChars="0"/>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w:t>
            </w:r>
            <w:r>
              <w:rPr>
                <w:rFonts w:hint="eastAsia" w:ascii="仿宋" w:hAnsi="仿宋" w:cs="仿宋"/>
                <w:color w:val="auto"/>
                <w:kern w:val="2"/>
                <w:sz w:val="24"/>
                <w:szCs w:val="21"/>
                <w:highlight w:val="none"/>
                <w:lang w:val="en-US" w:eastAsia="zh-CN" w:bidi="ar-SA"/>
              </w:rPr>
              <w:t>自</w:t>
            </w:r>
            <w:r>
              <w:rPr>
                <w:rFonts w:hint="eastAsia" w:ascii="仿宋" w:hAnsi="仿宋" w:eastAsia="仿宋" w:cs="仿宋"/>
                <w:color w:val="auto"/>
                <w:kern w:val="2"/>
                <w:sz w:val="24"/>
                <w:szCs w:val="21"/>
                <w:highlight w:val="none"/>
                <w:lang w:val="en-US" w:eastAsia="zh-CN" w:bidi="ar-SA"/>
              </w:rPr>
              <w:t>202</w:t>
            </w:r>
            <w:r>
              <w:rPr>
                <w:rFonts w:hint="eastAsia" w:ascii="仿宋" w:hAnsi="仿宋" w:cs="仿宋"/>
                <w:color w:val="auto"/>
                <w:kern w:val="2"/>
                <w:sz w:val="24"/>
                <w:szCs w:val="21"/>
                <w:highlight w:val="none"/>
                <w:lang w:val="en-US" w:eastAsia="zh-CN" w:bidi="ar-SA"/>
              </w:rPr>
              <w:t>2</w:t>
            </w:r>
            <w:r>
              <w:rPr>
                <w:rFonts w:hint="eastAsia" w:ascii="仿宋" w:hAnsi="仿宋" w:eastAsia="仿宋" w:cs="仿宋"/>
                <w:color w:val="auto"/>
                <w:kern w:val="2"/>
                <w:sz w:val="24"/>
                <w:szCs w:val="21"/>
                <w:highlight w:val="none"/>
                <w:lang w:val="en-US" w:eastAsia="zh-CN" w:bidi="ar-SA"/>
              </w:rPr>
              <w:t>年1月1日（以合同签订时间为准）以来承担过类似医疗机构物业服务的得</w:t>
            </w:r>
            <w:r>
              <w:rPr>
                <w:rFonts w:hint="eastAsia" w:ascii="仿宋" w:hAnsi="仿宋" w:cs="仿宋"/>
                <w:color w:val="auto"/>
                <w:kern w:val="2"/>
                <w:sz w:val="24"/>
                <w:szCs w:val="21"/>
                <w:highlight w:val="none"/>
                <w:lang w:val="en-US" w:eastAsia="zh-CN" w:bidi="ar-SA"/>
              </w:rPr>
              <w:t>4</w:t>
            </w:r>
            <w:r>
              <w:rPr>
                <w:rFonts w:hint="eastAsia" w:ascii="仿宋" w:hAnsi="仿宋" w:eastAsia="仿宋" w:cs="仿宋"/>
                <w:color w:val="auto"/>
                <w:kern w:val="2"/>
                <w:sz w:val="24"/>
                <w:szCs w:val="21"/>
                <w:highlight w:val="none"/>
                <w:lang w:val="en-US" w:eastAsia="zh-CN" w:bidi="ar-SA"/>
              </w:rPr>
              <w:t>分，</w:t>
            </w:r>
            <w:r>
              <w:rPr>
                <w:rFonts w:hint="eastAsia" w:ascii="仿宋" w:hAnsi="仿宋" w:cs="仿宋"/>
                <w:color w:val="auto"/>
                <w:kern w:val="2"/>
                <w:sz w:val="24"/>
                <w:szCs w:val="21"/>
                <w:highlight w:val="none"/>
                <w:lang w:val="en-US" w:eastAsia="zh-CN" w:bidi="ar-SA"/>
              </w:rPr>
              <w:t>每</w:t>
            </w:r>
            <w:r>
              <w:rPr>
                <w:rFonts w:hint="eastAsia" w:ascii="仿宋" w:hAnsi="仿宋" w:eastAsia="仿宋" w:cs="仿宋"/>
                <w:color w:val="auto"/>
                <w:kern w:val="2"/>
                <w:sz w:val="24"/>
                <w:szCs w:val="21"/>
                <w:highlight w:val="none"/>
                <w:lang w:val="en-US" w:eastAsia="zh-CN" w:bidi="ar-SA"/>
              </w:rPr>
              <w:t>多提供一个加2分，本项最高得</w:t>
            </w:r>
            <w:r>
              <w:rPr>
                <w:rFonts w:hint="eastAsia" w:ascii="仿宋" w:hAnsi="仿宋" w:cs="仿宋"/>
                <w:color w:val="auto"/>
                <w:kern w:val="2"/>
                <w:sz w:val="24"/>
                <w:szCs w:val="21"/>
                <w:highlight w:val="none"/>
                <w:lang w:val="en-US" w:eastAsia="zh-CN" w:bidi="ar-SA"/>
              </w:rPr>
              <w:t>10</w:t>
            </w:r>
            <w:r>
              <w:rPr>
                <w:rFonts w:hint="eastAsia" w:ascii="仿宋" w:hAnsi="仿宋" w:eastAsia="仿宋" w:cs="仿宋"/>
                <w:color w:val="auto"/>
                <w:kern w:val="2"/>
                <w:sz w:val="24"/>
                <w:szCs w:val="21"/>
                <w:highlight w:val="none"/>
                <w:lang w:val="en-US" w:eastAsia="zh-CN" w:bidi="ar-SA"/>
              </w:rPr>
              <w:t>分（需提供相应合同原件彩色扫描件，未提供不得分</w:t>
            </w:r>
            <w:r>
              <w:rPr>
                <w:rFonts w:hint="eastAsia" w:ascii="仿宋" w:hAnsi="仿宋" w:cs="仿宋"/>
                <w:color w:val="auto"/>
                <w:kern w:val="2"/>
                <w:sz w:val="24"/>
                <w:szCs w:val="21"/>
                <w:highlight w:val="none"/>
                <w:lang w:val="en-US" w:eastAsia="zh-CN" w:bidi="ar-SA"/>
              </w:rPr>
              <w:t>,如合同为一年一签的同一项目年度合同，只认同为一项合同</w:t>
            </w:r>
            <w:r>
              <w:rPr>
                <w:rFonts w:hint="eastAsia" w:ascii="仿宋" w:hAnsi="仿宋" w:eastAsia="仿宋" w:cs="仿宋"/>
                <w:color w:val="auto"/>
                <w:kern w:val="2"/>
                <w:sz w:val="24"/>
                <w:szCs w:val="21"/>
                <w:highlight w:val="none"/>
                <w:lang w:val="en-US" w:eastAsia="zh-CN" w:bidi="ar-SA"/>
              </w:rPr>
              <w:t>）。</w:t>
            </w:r>
          </w:p>
        </w:tc>
      </w:tr>
      <w:tr w14:paraId="6E38E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58" w:hRule="atLeast"/>
          <w:jc w:val="center"/>
        </w:trPr>
        <w:tc>
          <w:tcPr>
            <w:tcW w:w="447" w:type="dxa"/>
            <w:vMerge w:val="continue"/>
            <w:shd w:val="clear" w:color="auto" w:fill="FFFFFF"/>
            <w:tcMar>
              <w:top w:w="0" w:type="dxa"/>
              <w:left w:w="108" w:type="dxa"/>
              <w:bottom w:w="0" w:type="dxa"/>
              <w:right w:w="108" w:type="dxa"/>
            </w:tcMar>
            <w:vAlign w:val="center"/>
          </w:tcPr>
          <w:p w14:paraId="55232377">
            <w:pPr>
              <w:spacing w:line="360" w:lineRule="exact"/>
              <w:jc w:val="center"/>
              <w:rPr>
                <w:rFonts w:hint="eastAsia" w:ascii="仿宋" w:hAnsi="仿宋" w:eastAsia="仿宋" w:cs="仿宋"/>
                <w:color w:val="auto"/>
                <w:sz w:val="24"/>
                <w:highlight w:val="none"/>
              </w:rPr>
            </w:pPr>
          </w:p>
        </w:tc>
        <w:tc>
          <w:tcPr>
            <w:tcW w:w="2160" w:type="dxa"/>
            <w:gridSpan w:val="2"/>
            <w:vMerge w:val="continue"/>
            <w:shd w:val="clear" w:color="auto" w:fill="FFFFFF"/>
            <w:vAlign w:val="center"/>
          </w:tcPr>
          <w:p w14:paraId="0AE18692">
            <w:pPr>
              <w:spacing w:line="360" w:lineRule="exact"/>
              <w:jc w:val="center"/>
              <w:rPr>
                <w:rFonts w:hint="eastAsia" w:ascii="仿宋" w:hAnsi="仿宋" w:eastAsia="仿宋" w:cs="仿宋"/>
                <w:color w:val="auto"/>
                <w:sz w:val="24"/>
                <w:highlight w:val="none"/>
              </w:rPr>
            </w:pPr>
          </w:p>
        </w:tc>
        <w:tc>
          <w:tcPr>
            <w:tcW w:w="720" w:type="dxa"/>
            <w:shd w:val="clear" w:color="auto" w:fill="FFFFFF"/>
            <w:vAlign w:val="center"/>
          </w:tcPr>
          <w:p w14:paraId="598630F6">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1分</w:t>
            </w:r>
          </w:p>
        </w:tc>
        <w:tc>
          <w:tcPr>
            <w:tcW w:w="7027" w:type="dxa"/>
            <w:shd w:val="clear" w:color="auto" w:fill="FFFFFF"/>
            <w:tcMar>
              <w:top w:w="0" w:type="dxa"/>
              <w:left w:w="108" w:type="dxa"/>
              <w:bottom w:w="0" w:type="dxa"/>
              <w:right w:w="108" w:type="dxa"/>
            </w:tcMar>
            <w:vAlign w:val="top"/>
          </w:tcPr>
          <w:p w14:paraId="790BDEA0">
            <w:pPr>
              <w:pStyle w:val="25"/>
              <w:spacing w:line="340" w:lineRule="exact"/>
              <w:ind w:firstLine="0" w:firstLineChars="0"/>
              <w:rPr>
                <w:rFonts w:hint="eastAsia" w:ascii="仿宋" w:hAnsi="仿宋" w:eastAsia="仿宋" w:cs="仿宋"/>
                <w:color w:val="auto"/>
                <w:sz w:val="24"/>
                <w:highlight w:val="none"/>
              </w:rPr>
            </w:pPr>
            <w:r>
              <w:rPr>
                <w:rFonts w:hint="eastAsia" w:ascii="仿宋" w:hAnsi="仿宋" w:eastAsia="仿宋" w:cs="仿宋"/>
                <w:color w:val="auto"/>
                <w:kern w:val="2"/>
                <w:sz w:val="24"/>
                <w:szCs w:val="21"/>
                <w:highlight w:val="none"/>
                <w:lang w:val="en-US" w:eastAsia="zh-CN" w:bidi="ar-SA"/>
              </w:rPr>
              <w:t>投标人自202</w:t>
            </w:r>
            <w:r>
              <w:rPr>
                <w:rFonts w:hint="eastAsia" w:ascii="仿宋" w:hAnsi="仿宋" w:cs="仿宋"/>
                <w:color w:val="auto"/>
                <w:kern w:val="2"/>
                <w:sz w:val="24"/>
                <w:szCs w:val="21"/>
                <w:highlight w:val="none"/>
                <w:lang w:val="en-US" w:eastAsia="zh-CN" w:bidi="ar-SA"/>
              </w:rPr>
              <w:t>2</w:t>
            </w:r>
            <w:r>
              <w:rPr>
                <w:rFonts w:hint="eastAsia" w:ascii="仿宋" w:hAnsi="仿宋" w:eastAsia="仿宋" w:cs="仿宋"/>
                <w:color w:val="auto"/>
                <w:kern w:val="2"/>
                <w:sz w:val="24"/>
                <w:szCs w:val="21"/>
                <w:highlight w:val="none"/>
                <w:lang w:val="en-US" w:eastAsia="zh-CN" w:bidi="ar-SA"/>
              </w:rPr>
              <w:t>年1月1日（以颁发时间为准）以来曾获各级行政部门颁发的荣誉或奖项的</w:t>
            </w:r>
            <w:r>
              <w:rPr>
                <w:rFonts w:hint="eastAsia" w:ascii="仿宋" w:hAnsi="仿宋" w:eastAsia="仿宋" w:cs="仿宋"/>
                <w:color w:val="auto"/>
                <w:kern w:val="2"/>
                <w:sz w:val="24"/>
                <w:szCs w:val="21"/>
                <w:highlight w:val="none"/>
                <w:rtl w:val="0"/>
                <w:lang w:val="en-US" w:eastAsia="zh-CN" w:bidi="ar-SA"/>
              </w:rPr>
              <w:t>每提供1个区（县）级的</w:t>
            </w:r>
            <w:r>
              <w:rPr>
                <w:rFonts w:hint="eastAsia" w:ascii="仿宋" w:hAnsi="仿宋" w:eastAsia="仿宋" w:cs="仿宋"/>
                <w:color w:val="auto"/>
                <w:kern w:val="2"/>
                <w:sz w:val="24"/>
                <w:szCs w:val="21"/>
                <w:highlight w:val="none"/>
                <w:lang w:val="en-US" w:eastAsia="zh-CN" w:bidi="ar-SA"/>
              </w:rPr>
              <w:t>得</w:t>
            </w:r>
            <w:r>
              <w:rPr>
                <w:rFonts w:hint="eastAsia" w:ascii="仿宋" w:hAnsi="仿宋" w:cs="仿宋"/>
                <w:color w:val="auto"/>
                <w:kern w:val="2"/>
                <w:sz w:val="24"/>
                <w:szCs w:val="21"/>
                <w:highlight w:val="none"/>
                <w:lang w:val="en-US" w:eastAsia="zh-CN" w:bidi="ar-SA"/>
              </w:rPr>
              <w:t>0.5</w:t>
            </w:r>
            <w:r>
              <w:rPr>
                <w:rFonts w:hint="eastAsia" w:ascii="仿宋" w:hAnsi="仿宋" w:eastAsia="仿宋" w:cs="仿宋"/>
                <w:color w:val="auto"/>
                <w:kern w:val="2"/>
                <w:sz w:val="24"/>
                <w:szCs w:val="21"/>
                <w:highlight w:val="none"/>
                <w:lang w:val="en-US" w:eastAsia="zh-CN" w:bidi="ar-SA"/>
              </w:rPr>
              <w:t>分，每提供1个市级及以上的得</w:t>
            </w:r>
            <w:r>
              <w:rPr>
                <w:rFonts w:hint="eastAsia" w:ascii="仿宋" w:hAnsi="仿宋" w:cs="仿宋"/>
                <w:color w:val="auto"/>
                <w:kern w:val="2"/>
                <w:sz w:val="24"/>
                <w:szCs w:val="21"/>
                <w:highlight w:val="none"/>
                <w:lang w:val="en-US" w:eastAsia="zh-CN" w:bidi="ar-SA"/>
              </w:rPr>
              <w:t>1</w:t>
            </w:r>
            <w:r>
              <w:rPr>
                <w:rFonts w:hint="eastAsia" w:ascii="仿宋" w:hAnsi="仿宋" w:eastAsia="仿宋" w:cs="仿宋"/>
                <w:color w:val="auto"/>
                <w:kern w:val="2"/>
                <w:sz w:val="24"/>
                <w:szCs w:val="21"/>
                <w:highlight w:val="none"/>
                <w:lang w:val="en-US" w:eastAsia="zh-CN" w:bidi="ar-SA"/>
              </w:rPr>
              <w:t>分，本项最高得</w:t>
            </w:r>
            <w:r>
              <w:rPr>
                <w:rFonts w:hint="eastAsia" w:ascii="仿宋" w:hAnsi="仿宋" w:cs="仿宋"/>
                <w:color w:val="auto"/>
                <w:kern w:val="2"/>
                <w:sz w:val="24"/>
                <w:szCs w:val="21"/>
                <w:highlight w:val="none"/>
                <w:lang w:val="en-US" w:eastAsia="zh-CN" w:bidi="ar-SA"/>
              </w:rPr>
              <w:t>1</w:t>
            </w:r>
            <w:r>
              <w:rPr>
                <w:rFonts w:hint="eastAsia" w:ascii="仿宋" w:hAnsi="仿宋" w:eastAsia="仿宋" w:cs="仿宋"/>
                <w:color w:val="auto"/>
                <w:kern w:val="2"/>
                <w:sz w:val="24"/>
                <w:szCs w:val="21"/>
                <w:highlight w:val="none"/>
                <w:lang w:val="en-US" w:eastAsia="zh-CN" w:bidi="ar-SA"/>
              </w:rPr>
              <w:t>分（提供相关</w:t>
            </w:r>
            <w:r>
              <w:rPr>
                <w:rFonts w:hint="eastAsia" w:ascii="仿宋" w:hAnsi="仿宋" w:cs="仿宋"/>
                <w:color w:val="auto"/>
                <w:kern w:val="2"/>
                <w:sz w:val="24"/>
                <w:szCs w:val="21"/>
                <w:highlight w:val="none"/>
                <w:lang w:val="en-US" w:eastAsia="zh-CN" w:bidi="ar-SA"/>
              </w:rPr>
              <w:t>证书或</w:t>
            </w:r>
            <w:r>
              <w:rPr>
                <w:rFonts w:hint="eastAsia" w:ascii="仿宋" w:hAnsi="仿宋" w:eastAsia="仿宋" w:cs="仿宋"/>
                <w:color w:val="auto"/>
                <w:kern w:val="2"/>
                <w:sz w:val="24"/>
                <w:szCs w:val="21"/>
                <w:highlight w:val="none"/>
                <w:lang w:val="en-US" w:eastAsia="zh-CN" w:bidi="ar-SA"/>
              </w:rPr>
              <w:t>证明文件，未提供不得分）。</w:t>
            </w:r>
          </w:p>
        </w:tc>
      </w:tr>
      <w:tr w14:paraId="1BFEF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158" w:hRule="atLeast"/>
          <w:jc w:val="center"/>
        </w:trPr>
        <w:tc>
          <w:tcPr>
            <w:tcW w:w="447" w:type="dxa"/>
            <w:vMerge w:val="continue"/>
            <w:shd w:val="clear" w:color="auto" w:fill="FFFFFF"/>
            <w:tcMar>
              <w:top w:w="0" w:type="dxa"/>
              <w:left w:w="108" w:type="dxa"/>
              <w:bottom w:w="0" w:type="dxa"/>
              <w:right w:w="108" w:type="dxa"/>
            </w:tcMar>
            <w:vAlign w:val="center"/>
          </w:tcPr>
          <w:p w14:paraId="75990B71">
            <w:pPr>
              <w:spacing w:line="360" w:lineRule="exact"/>
              <w:jc w:val="center"/>
              <w:rPr>
                <w:rFonts w:hint="eastAsia" w:ascii="仿宋" w:hAnsi="仿宋" w:eastAsia="仿宋" w:cs="仿宋"/>
                <w:color w:val="auto"/>
                <w:sz w:val="24"/>
                <w:highlight w:val="none"/>
              </w:rPr>
            </w:pPr>
          </w:p>
        </w:tc>
        <w:tc>
          <w:tcPr>
            <w:tcW w:w="2160" w:type="dxa"/>
            <w:gridSpan w:val="2"/>
            <w:vMerge w:val="continue"/>
            <w:shd w:val="clear" w:color="auto" w:fill="FFFFFF"/>
            <w:vAlign w:val="center"/>
          </w:tcPr>
          <w:p w14:paraId="1622DC43">
            <w:pPr>
              <w:spacing w:line="360" w:lineRule="exact"/>
              <w:jc w:val="center"/>
              <w:rPr>
                <w:rFonts w:hint="eastAsia" w:ascii="仿宋" w:hAnsi="仿宋" w:eastAsia="仿宋" w:cs="仿宋"/>
                <w:color w:val="auto"/>
                <w:sz w:val="24"/>
                <w:highlight w:val="none"/>
              </w:rPr>
            </w:pPr>
          </w:p>
        </w:tc>
        <w:tc>
          <w:tcPr>
            <w:tcW w:w="720" w:type="dxa"/>
            <w:shd w:val="clear" w:color="auto" w:fill="FFFFFF"/>
            <w:vAlign w:val="center"/>
          </w:tcPr>
          <w:p w14:paraId="5952D110">
            <w:pPr>
              <w:spacing w:line="360" w:lineRule="exact"/>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w:t>
            </w:r>
          </w:p>
        </w:tc>
        <w:tc>
          <w:tcPr>
            <w:tcW w:w="7027" w:type="dxa"/>
            <w:shd w:val="clear" w:color="auto" w:fill="FFFFFF"/>
            <w:tcMar>
              <w:top w:w="0" w:type="dxa"/>
              <w:left w:w="108" w:type="dxa"/>
              <w:bottom w:w="0" w:type="dxa"/>
              <w:right w:w="108" w:type="dxa"/>
            </w:tcMar>
            <w:vAlign w:val="top"/>
          </w:tcPr>
          <w:p w14:paraId="441DCB39">
            <w:pPr>
              <w:keepNext w:val="0"/>
              <w:keepLines w:val="0"/>
              <w:pageBreakBefore w:val="0"/>
              <w:widowControl w:val="0"/>
              <w:kinsoku/>
              <w:wordWrap/>
              <w:overflowPunct/>
              <w:topLinePunct w:val="0"/>
              <w:autoSpaceDE w:val="0"/>
              <w:autoSpaceDN w:val="0"/>
              <w:bidi w:val="0"/>
              <w:adjustRightInd w:val="0"/>
              <w:snapToGrid/>
              <w:spacing w:line="34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bCs/>
                <w:color w:val="auto"/>
                <w:sz w:val="24"/>
                <w:szCs w:val="24"/>
                <w:highlight w:val="none"/>
                <w:lang w:val="en-US" w:eastAsia="zh-CN"/>
              </w:rPr>
              <w:t>投标人具备有效期内的质量管理体系认证证书、环境管理体系认证证书、职业健康安全管理体系认证证书，</w:t>
            </w:r>
            <w:r>
              <w:rPr>
                <w:rFonts w:hint="eastAsia" w:ascii="仿宋" w:hAnsi="仿宋" w:eastAsia="仿宋" w:cs="仿宋"/>
                <w:color w:val="auto"/>
                <w:sz w:val="24"/>
                <w:highlight w:val="none"/>
              </w:rPr>
              <w:t>每提供</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个得</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分，最高得</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w:t>
            </w:r>
            <w:r>
              <w:rPr>
                <w:rFonts w:hint="eastAsia" w:ascii="仿宋" w:hAnsi="仿宋" w:eastAsia="仿宋" w:cs="仿宋"/>
                <w:bCs/>
                <w:color w:val="auto"/>
                <w:sz w:val="24"/>
                <w:szCs w:val="24"/>
                <w:highlight w:val="none"/>
                <w:lang w:val="en-US" w:eastAsia="zh-CN"/>
              </w:rPr>
              <w:t>（提供证书原件彩色扫描件及加盖投标人公章的中国认监委网站（http://www.cnca.gov.cn/）查询截图，</w:t>
            </w:r>
            <w:r>
              <w:rPr>
                <w:rFonts w:hint="eastAsia" w:ascii="仿宋" w:hAnsi="仿宋" w:eastAsia="仿宋" w:cs="仿宋"/>
                <w:bCs/>
                <w:color w:val="auto"/>
                <w:kern w:val="2"/>
                <w:sz w:val="24"/>
                <w:szCs w:val="24"/>
                <w:highlight w:val="none"/>
                <w:lang w:val="en-US" w:eastAsia="zh-CN" w:bidi="ar-SA"/>
              </w:rPr>
              <w:t>不提供不得分</w:t>
            </w:r>
            <w:r>
              <w:rPr>
                <w:rFonts w:hint="eastAsia" w:ascii="仿宋" w:hAnsi="仿宋" w:eastAsia="仿宋" w:cs="仿宋"/>
                <w:bCs/>
                <w:color w:val="auto"/>
                <w:sz w:val="24"/>
                <w:szCs w:val="24"/>
                <w:highlight w:val="none"/>
                <w:lang w:val="en-US" w:eastAsia="zh-CN"/>
              </w:rPr>
              <w:t>。）</w:t>
            </w:r>
          </w:p>
        </w:tc>
      </w:tr>
    </w:tbl>
    <w:p w14:paraId="399906FD">
      <w:pPr>
        <w:pStyle w:val="13"/>
        <w:keepNext w:val="0"/>
        <w:keepLines w:val="0"/>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注：以上投标人提供的评分材料，需真实有效，中标后2个工作日内提供原件由采购人逐一核查材料的真实性，若经发现存在弄虚作假行为，取消中标人中标资格，同时追究其法律赔偿与责任。</w:t>
      </w:r>
    </w:p>
    <w:p w14:paraId="607140F3">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6ED91C23">
      <w:pPr>
        <w:pStyle w:val="13"/>
        <w:keepNext/>
        <w:spacing w:beforeAutospacing="0" w:afterAutospacing="0"/>
        <w:jc w:val="center"/>
        <w:rPr>
          <w:color w:val="auto"/>
          <w:highlight w:val="none"/>
        </w:rPr>
      </w:pPr>
      <w:r>
        <w:rPr>
          <w:rFonts w:hint="eastAsia" w:ascii="黑体" w:hAnsi="宋体" w:eastAsia="黑体" w:cs="黑体"/>
          <w:color w:val="auto"/>
          <w:sz w:val="44"/>
          <w:szCs w:val="44"/>
          <w:highlight w:val="none"/>
        </w:rPr>
        <w:t xml:space="preserve">第六章  投标文件格式 </w:t>
      </w:r>
    </w:p>
    <w:p w14:paraId="5C35730B">
      <w:pPr>
        <w:pStyle w:val="13"/>
        <w:spacing w:beforeAutospacing="0" w:afterAutospacing="0"/>
        <w:jc w:val="center"/>
        <w:rPr>
          <w:rFonts w:hint="eastAsia" w:ascii="宋体" w:hAnsi="宋体" w:eastAsia="宋体" w:cs="宋体"/>
          <w:b/>
          <w:color w:val="auto"/>
          <w:sz w:val="72"/>
          <w:szCs w:val="72"/>
          <w:highlight w:val="none"/>
        </w:rPr>
      </w:pPr>
      <w:bookmarkStart w:id="188" w:name="_Hlt26955039"/>
      <w:bookmarkEnd w:id="188"/>
      <w:bookmarkStart w:id="189" w:name="_Toc26554094"/>
      <w:bookmarkEnd w:id="189"/>
      <w:bookmarkStart w:id="190" w:name="_Hlt26671244"/>
      <w:bookmarkEnd w:id="190"/>
      <w:bookmarkStart w:id="191" w:name="_Toc49090576"/>
      <w:bookmarkStart w:id="192" w:name="_Toc120614282"/>
    </w:p>
    <w:p w14:paraId="5DE60FAA">
      <w:pPr>
        <w:pStyle w:val="13"/>
        <w:spacing w:beforeAutospacing="0" w:afterAutospacing="0"/>
        <w:jc w:val="center"/>
        <w:rPr>
          <w:rFonts w:hint="eastAsia" w:ascii="宋体" w:hAnsi="宋体" w:eastAsia="宋体" w:cs="宋体"/>
          <w:b/>
          <w:color w:val="auto"/>
          <w:sz w:val="72"/>
          <w:szCs w:val="72"/>
          <w:highlight w:val="none"/>
        </w:rPr>
      </w:pPr>
    </w:p>
    <w:p w14:paraId="36129105">
      <w:pPr>
        <w:pStyle w:val="13"/>
        <w:spacing w:beforeAutospacing="0" w:afterAutospacing="0"/>
        <w:jc w:val="center"/>
        <w:rPr>
          <w:rFonts w:hint="eastAsia" w:ascii="宋体" w:hAnsi="宋体" w:eastAsia="宋体" w:cs="宋体"/>
          <w:b/>
          <w:color w:val="auto"/>
          <w:sz w:val="72"/>
          <w:szCs w:val="72"/>
          <w:highlight w:val="none"/>
        </w:rPr>
      </w:pPr>
    </w:p>
    <w:p w14:paraId="56B19F88">
      <w:pPr>
        <w:pStyle w:val="13"/>
        <w:spacing w:beforeAutospacing="0" w:afterAutospacing="0"/>
        <w:jc w:val="center"/>
        <w:rPr>
          <w:color w:val="auto"/>
          <w:highlight w:val="none"/>
        </w:rPr>
      </w:pPr>
      <w:r>
        <w:rPr>
          <w:rFonts w:hint="eastAsia" w:ascii="宋体" w:hAnsi="宋体" w:eastAsia="宋体" w:cs="宋体"/>
          <w:b/>
          <w:color w:val="auto"/>
          <w:sz w:val="72"/>
          <w:szCs w:val="72"/>
          <w:highlight w:val="none"/>
        </w:rPr>
        <w:t>投  标  文  件</w:t>
      </w:r>
    </w:p>
    <w:p w14:paraId="567C6B4D">
      <w:pPr>
        <w:pStyle w:val="13"/>
        <w:spacing w:beforeAutospacing="0" w:afterAutospacing="0"/>
        <w:jc w:val="center"/>
        <w:rPr>
          <w:color w:val="auto"/>
          <w:highlight w:val="none"/>
        </w:rPr>
      </w:pPr>
      <w:r>
        <w:rPr>
          <w:color w:val="auto"/>
          <w:highlight w:val="none"/>
        </w:rPr>
        <w:t> </w:t>
      </w:r>
    </w:p>
    <w:p w14:paraId="4D493C40">
      <w:pPr>
        <w:pStyle w:val="13"/>
        <w:spacing w:beforeAutospacing="0" w:afterAutospacing="0"/>
        <w:jc w:val="center"/>
        <w:rPr>
          <w:color w:val="auto"/>
          <w:highlight w:val="none"/>
        </w:rPr>
      </w:pPr>
      <w:r>
        <w:rPr>
          <w:color w:val="auto"/>
          <w:highlight w:val="none"/>
        </w:rPr>
        <w:t> </w:t>
      </w:r>
    </w:p>
    <w:p w14:paraId="266BF702">
      <w:pPr>
        <w:pStyle w:val="13"/>
        <w:spacing w:beforeAutospacing="0" w:afterAutospacing="0"/>
        <w:jc w:val="center"/>
        <w:rPr>
          <w:color w:val="auto"/>
          <w:highlight w:val="none"/>
        </w:rPr>
      </w:pPr>
      <w:r>
        <w:rPr>
          <w:color w:val="auto"/>
          <w:highlight w:val="none"/>
        </w:rPr>
        <w:t> </w:t>
      </w:r>
    </w:p>
    <w:p w14:paraId="137CE618">
      <w:pPr>
        <w:pStyle w:val="13"/>
        <w:spacing w:beforeAutospacing="0" w:afterAutospacing="0"/>
        <w:jc w:val="center"/>
        <w:rPr>
          <w:color w:val="auto"/>
          <w:highlight w:val="none"/>
        </w:rPr>
      </w:pPr>
      <w:r>
        <w:rPr>
          <w:color w:val="auto"/>
          <w:highlight w:val="none"/>
        </w:rPr>
        <w:t> </w:t>
      </w:r>
    </w:p>
    <w:p w14:paraId="5B09C8C9">
      <w:pPr>
        <w:pStyle w:val="13"/>
        <w:spacing w:beforeAutospacing="0" w:afterAutospacing="0"/>
        <w:jc w:val="center"/>
        <w:rPr>
          <w:color w:val="auto"/>
          <w:highlight w:val="none"/>
        </w:rPr>
      </w:pPr>
      <w:r>
        <w:rPr>
          <w:color w:val="auto"/>
          <w:highlight w:val="none"/>
        </w:rPr>
        <w:t> </w:t>
      </w:r>
    </w:p>
    <w:p w14:paraId="58DBE0BA">
      <w:pPr>
        <w:pStyle w:val="13"/>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项目 名 称：</w:t>
      </w:r>
      <w:r>
        <w:rPr>
          <w:rFonts w:hint="eastAsia" w:ascii="宋体" w:hAnsi="宋体" w:eastAsia="宋体" w:cs="宋体"/>
          <w:b/>
          <w:color w:val="auto"/>
          <w:sz w:val="36"/>
          <w:szCs w:val="36"/>
          <w:highlight w:val="none"/>
          <w:u w:val="single"/>
        </w:rPr>
        <w:t xml:space="preserve">               </w:t>
      </w:r>
    </w:p>
    <w:p w14:paraId="5E9D8A6D">
      <w:pPr>
        <w:pStyle w:val="13"/>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项目 编 号：</w:t>
      </w:r>
      <w:r>
        <w:rPr>
          <w:rFonts w:hint="eastAsia" w:ascii="宋体" w:hAnsi="宋体" w:eastAsia="宋体" w:cs="宋体"/>
          <w:b/>
          <w:color w:val="auto"/>
          <w:sz w:val="36"/>
          <w:szCs w:val="36"/>
          <w:highlight w:val="none"/>
          <w:u w:val="single"/>
        </w:rPr>
        <w:t xml:space="preserve">               </w:t>
      </w:r>
    </w:p>
    <w:p w14:paraId="63597D06">
      <w:pPr>
        <w:pStyle w:val="13"/>
        <w:spacing w:beforeAutospacing="0" w:afterAutospacing="0"/>
        <w:jc w:val="both"/>
        <w:rPr>
          <w:color w:val="auto"/>
          <w:highlight w:val="none"/>
        </w:rPr>
      </w:pPr>
      <w:r>
        <w:rPr>
          <w:rFonts w:hint="eastAsia" w:ascii="宋体" w:hAnsi="宋体" w:eastAsia="宋体" w:cs="宋体"/>
          <w:b/>
          <w:color w:val="auto"/>
          <w:sz w:val="36"/>
          <w:szCs w:val="36"/>
          <w:highlight w:val="none"/>
        </w:rPr>
        <w:t>   投标人名称 ：</w:t>
      </w:r>
      <w:r>
        <w:rPr>
          <w:rFonts w:hint="eastAsia" w:ascii="宋体" w:hAnsi="宋体" w:eastAsia="宋体" w:cs="宋体"/>
          <w:b/>
          <w:color w:val="auto"/>
          <w:sz w:val="36"/>
          <w:szCs w:val="36"/>
          <w:highlight w:val="none"/>
          <w:u w:val="single"/>
        </w:rPr>
        <w:t xml:space="preserve">（加盖CA电子公章）        </w:t>
      </w:r>
    </w:p>
    <w:p w14:paraId="4C487FBE">
      <w:pPr>
        <w:pStyle w:val="13"/>
        <w:spacing w:beforeAutospacing="0" w:afterAutospacing="0"/>
        <w:jc w:val="both"/>
        <w:rPr>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p>
    <w:p w14:paraId="163E2FAD">
      <w:pPr>
        <w:pStyle w:val="13"/>
        <w:spacing w:beforeAutospacing="0" w:afterAutospacing="0" w:line="0" w:lineRule="atLeast"/>
        <w:jc w:val="center"/>
        <w:rPr>
          <w:color w:val="auto"/>
          <w:highlight w:val="none"/>
        </w:rPr>
      </w:pPr>
      <w:r>
        <w:rPr>
          <w:color w:val="auto"/>
          <w:highlight w:val="none"/>
        </w:rPr>
        <w:t> </w:t>
      </w:r>
    </w:p>
    <w:p w14:paraId="49033232">
      <w:pPr>
        <w:pStyle w:val="13"/>
        <w:spacing w:beforeAutospacing="0" w:afterAutospacing="0" w:line="0" w:lineRule="atLeast"/>
        <w:jc w:val="both"/>
        <w:rPr>
          <w:color w:val="auto"/>
          <w:highlight w:val="none"/>
        </w:rPr>
      </w:pPr>
      <w:r>
        <w:rPr>
          <w:color w:val="auto"/>
          <w:highlight w:val="none"/>
        </w:rPr>
        <w:t> </w:t>
      </w:r>
    </w:p>
    <w:p w14:paraId="2993747C">
      <w:pPr>
        <w:pStyle w:val="13"/>
        <w:spacing w:beforeAutospacing="0" w:afterAutospacing="0" w:line="0" w:lineRule="atLeast"/>
        <w:jc w:val="center"/>
        <w:rPr>
          <w:rFonts w:ascii="宋体" w:hAnsi="宋体" w:eastAsia="宋体" w:cs="宋体"/>
          <w:b/>
          <w:color w:val="auto"/>
          <w:sz w:val="36"/>
          <w:szCs w:val="36"/>
          <w:highlight w:val="none"/>
          <w:u w:val="single"/>
        </w:rPr>
      </w:pPr>
    </w:p>
    <w:p w14:paraId="53205827">
      <w:pPr>
        <w:pStyle w:val="13"/>
        <w:spacing w:beforeAutospacing="0" w:afterAutospacing="0" w:line="0" w:lineRule="atLeast"/>
        <w:jc w:val="center"/>
        <w:rPr>
          <w:rFonts w:ascii="宋体" w:hAnsi="宋体" w:eastAsia="宋体" w:cs="宋体"/>
          <w:b/>
          <w:color w:val="auto"/>
          <w:sz w:val="36"/>
          <w:szCs w:val="36"/>
          <w:highlight w:val="none"/>
          <w:u w:val="single"/>
        </w:rPr>
      </w:pPr>
    </w:p>
    <w:p w14:paraId="013F367D">
      <w:pPr>
        <w:pStyle w:val="13"/>
        <w:spacing w:beforeAutospacing="0" w:afterAutospacing="0" w:line="0" w:lineRule="atLeast"/>
        <w:jc w:val="center"/>
        <w:rPr>
          <w:rFonts w:ascii="宋体" w:hAnsi="宋体" w:eastAsia="宋体" w:cs="宋体"/>
          <w:b/>
          <w:color w:val="auto"/>
          <w:sz w:val="36"/>
          <w:szCs w:val="36"/>
          <w:highlight w:val="none"/>
          <w:u w:val="single"/>
        </w:rPr>
      </w:pPr>
    </w:p>
    <w:p w14:paraId="56D7C529">
      <w:pPr>
        <w:pStyle w:val="13"/>
        <w:spacing w:beforeAutospacing="0" w:afterAutospacing="0" w:line="0" w:lineRule="atLeast"/>
        <w:jc w:val="center"/>
        <w:rPr>
          <w:rFonts w:ascii="宋体" w:hAnsi="宋体" w:eastAsia="宋体" w:cs="宋体"/>
          <w:b/>
          <w:color w:val="auto"/>
          <w:sz w:val="36"/>
          <w:szCs w:val="36"/>
          <w:highlight w:val="none"/>
          <w:u w:val="single"/>
        </w:rPr>
      </w:pPr>
    </w:p>
    <w:p w14:paraId="6BC2A1CC">
      <w:pPr>
        <w:pStyle w:val="13"/>
        <w:spacing w:beforeAutospacing="0" w:afterAutospacing="0" w:line="0" w:lineRule="atLeast"/>
        <w:jc w:val="center"/>
        <w:rPr>
          <w:rFonts w:ascii="宋体" w:hAnsi="宋体" w:eastAsia="宋体" w:cs="宋体"/>
          <w:b/>
          <w:color w:val="auto"/>
          <w:sz w:val="36"/>
          <w:szCs w:val="36"/>
          <w:highlight w:val="none"/>
          <w:u w:val="single"/>
        </w:rPr>
      </w:pPr>
    </w:p>
    <w:p w14:paraId="68CF97D7">
      <w:pPr>
        <w:pStyle w:val="13"/>
        <w:spacing w:beforeAutospacing="0" w:afterAutospacing="0" w:line="0" w:lineRule="atLeast"/>
        <w:jc w:val="center"/>
        <w:rPr>
          <w:rFonts w:ascii="宋体" w:hAnsi="宋体" w:eastAsia="宋体" w:cs="宋体"/>
          <w:b/>
          <w:color w:val="auto"/>
          <w:sz w:val="36"/>
          <w:szCs w:val="36"/>
          <w:highlight w:val="none"/>
          <w:u w:val="single"/>
        </w:rPr>
      </w:pPr>
    </w:p>
    <w:p w14:paraId="1C50440D">
      <w:pPr>
        <w:pStyle w:val="13"/>
        <w:spacing w:beforeAutospacing="0" w:afterAutospacing="0" w:line="0" w:lineRule="atLeast"/>
        <w:jc w:val="center"/>
        <w:rPr>
          <w:rFonts w:ascii="宋体" w:hAnsi="宋体" w:eastAsia="宋体" w:cs="宋体"/>
          <w:b/>
          <w:color w:val="auto"/>
          <w:sz w:val="36"/>
          <w:szCs w:val="36"/>
          <w:highlight w:val="none"/>
          <w:u w:val="single"/>
        </w:rPr>
      </w:pPr>
    </w:p>
    <w:p w14:paraId="0A43C70B">
      <w:pPr>
        <w:pStyle w:val="13"/>
        <w:spacing w:beforeAutospacing="0" w:afterAutospacing="0" w:line="0" w:lineRule="atLeast"/>
        <w:jc w:val="center"/>
        <w:rPr>
          <w:rFonts w:ascii="宋体" w:hAnsi="宋体" w:eastAsia="宋体" w:cs="宋体"/>
          <w:b/>
          <w:color w:val="auto"/>
          <w:sz w:val="36"/>
          <w:szCs w:val="36"/>
          <w:highlight w:val="none"/>
          <w:u w:val="single"/>
        </w:rPr>
      </w:pPr>
    </w:p>
    <w:p w14:paraId="7E52F7E9">
      <w:pPr>
        <w:pStyle w:val="13"/>
        <w:spacing w:beforeAutospacing="0" w:afterAutospacing="0" w:line="0" w:lineRule="atLeast"/>
        <w:jc w:val="center"/>
        <w:rPr>
          <w:rFonts w:ascii="宋体" w:hAnsi="宋体" w:eastAsia="宋体" w:cs="宋体"/>
          <w:b/>
          <w:color w:val="auto"/>
          <w:sz w:val="36"/>
          <w:szCs w:val="36"/>
          <w:highlight w:val="none"/>
          <w:u w:val="single"/>
        </w:rPr>
      </w:pPr>
    </w:p>
    <w:p w14:paraId="7385157E">
      <w:pPr>
        <w:pStyle w:val="13"/>
        <w:spacing w:beforeAutospacing="0" w:afterAutospacing="0" w:line="0" w:lineRule="atLeast"/>
        <w:jc w:val="center"/>
        <w:rPr>
          <w:rFonts w:ascii="宋体" w:hAnsi="宋体" w:eastAsia="宋体" w:cs="宋体"/>
          <w:b/>
          <w:color w:val="auto"/>
          <w:sz w:val="36"/>
          <w:szCs w:val="36"/>
          <w:highlight w:val="none"/>
          <w:u w:val="single"/>
        </w:rPr>
      </w:pPr>
    </w:p>
    <w:p w14:paraId="3D77E5BC">
      <w:pPr>
        <w:pStyle w:val="13"/>
        <w:spacing w:beforeAutospacing="0" w:afterAutospacing="0" w:line="0" w:lineRule="atLeast"/>
        <w:jc w:val="center"/>
        <w:rPr>
          <w:color w:val="auto"/>
          <w:highlight w:val="none"/>
        </w:rPr>
      </w:pPr>
      <w:r>
        <w:rPr>
          <w:rFonts w:hint="eastAsia" w:ascii="宋体" w:hAnsi="宋体" w:eastAsia="宋体" w:cs="宋体"/>
          <w:b/>
          <w:color w:val="auto"/>
          <w:sz w:val="32"/>
          <w:szCs w:val="32"/>
          <w:highlight w:val="none"/>
        </w:rPr>
        <w:t>投标文件目录</w:t>
      </w:r>
    </w:p>
    <w:p w14:paraId="15190CCD">
      <w:pPr>
        <w:pStyle w:val="13"/>
        <w:spacing w:beforeAutospacing="0" w:afterAutospacing="0" w:line="0" w:lineRule="atLeast"/>
        <w:jc w:val="center"/>
        <w:rPr>
          <w:color w:val="auto"/>
          <w:highlight w:val="none"/>
        </w:rPr>
      </w:pPr>
      <w:r>
        <w:rPr>
          <w:color w:val="auto"/>
          <w:highlight w:val="none"/>
        </w:rPr>
        <w:t> </w:t>
      </w:r>
    </w:p>
    <w:p w14:paraId="3E265CB3">
      <w:pPr>
        <w:pStyle w:val="13"/>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一、法人或者其他组织的营业执照等证明文件，自然人的身份证明</w:t>
      </w:r>
    </w:p>
    <w:p w14:paraId="328B68C3">
      <w:pPr>
        <w:pStyle w:val="13"/>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二、</w:t>
      </w:r>
      <w:r>
        <w:rPr>
          <w:rFonts w:hint="eastAsia" w:ascii="宋体" w:hAnsi="宋体" w:eastAsia="宋体" w:cs="宋体"/>
          <w:i/>
          <w:color w:val="auto"/>
          <w:highlight w:val="none"/>
          <w:u w:val="single"/>
          <w:lang w:eastAsia="zh-CN"/>
        </w:rPr>
        <w:t>上一年度的财务状况报告</w:t>
      </w:r>
      <w:r>
        <w:rPr>
          <w:rFonts w:hint="eastAsia" w:ascii="宋体" w:hAnsi="宋体" w:eastAsia="宋体" w:cs="宋体"/>
          <w:i/>
          <w:color w:val="auto"/>
          <w:highlight w:val="none"/>
          <w:u w:val="single"/>
        </w:rPr>
        <w:t>（至少提供资产负债表、利润表、现金流量表，投标人成立不满一年无需提供）</w:t>
      </w:r>
    </w:p>
    <w:p w14:paraId="08B3E8E2">
      <w:pPr>
        <w:pStyle w:val="13"/>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三、具备履行合同所必需的设备和专业技术能力的书面声明</w:t>
      </w:r>
    </w:p>
    <w:p w14:paraId="71460692">
      <w:pPr>
        <w:pStyle w:val="13"/>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0E8FA5B1">
      <w:pPr>
        <w:pStyle w:val="13"/>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五、参加政府采购活动前 3 年内在经营活动中没有重大违法记录的书面声明</w:t>
      </w:r>
    </w:p>
    <w:p w14:paraId="2E2BA629">
      <w:pPr>
        <w:pStyle w:val="13"/>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六、特定资格要求的证明文件（如果本项目设置特定资格要求，则需要提供）</w:t>
      </w:r>
    </w:p>
    <w:p w14:paraId="7CAB76BD">
      <w:pPr>
        <w:pStyle w:val="13"/>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七、法人授权书</w:t>
      </w:r>
    </w:p>
    <w:p w14:paraId="21001ED9">
      <w:pPr>
        <w:pStyle w:val="13"/>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八、投标函</w:t>
      </w:r>
    </w:p>
    <w:p w14:paraId="21E14643">
      <w:pPr>
        <w:pStyle w:val="13"/>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九、中小企业声明函</w:t>
      </w:r>
    </w:p>
    <w:p w14:paraId="719F7EE9">
      <w:pPr>
        <w:pStyle w:val="13"/>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十、残疾人福利性单位声明函</w:t>
      </w:r>
    </w:p>
    <w:p w14:paraId="38A2A749">
      <w:pPr>
        <w:pStyle w:val="13"/>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十一、投标分项报价表</w:t>
      </w:r>
    </w:p>
    <w:p w14:paraId="09843901">
      <w:pPr>
        <w:pStyle w:val="13"/>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二</w:t>
      </w:r>
      <w:r>
        <w:rPr>
          <w:rFonts w:hint="eastAsia" w:ascii="宋体" w:hAnsi="宋体" w:eastAsia="宋体" w:cs="宋体"/>
          <w:color w:val="auto"/>
          <w:highlight w:val="none"/>
        </w:rPr>
        <w:t>、技术要求响应及偏离表</w:t>
      </w:r>
    </w:p>
    <w:p w14:paraId="12E7D0D6">
      <w:pPr>
        <w:pStyle w:val="13"/>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三</w:t>
      </w:r>
      <w:r>
        <w:rPr>
          <w:rFonts w:hint="eastAsia" w:ascii="宋体" w:hAnsi="宋体" w:eastAsia="宋体" w:cs="宋体"/>
          <w:color w:val="auto"/>
          <w:highlight w:val="none"/>
        </w:rPr>
        <w:t>、商务要求响应及偏离表</w:t>
      </w:r>
    </w:p>
    <w:p w14:paraId="6C6CF312">
      <w:pPr>
        <w:pStyle w:val="13"/>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十</w:t>
      </w:r>
      <w:r>
        <w:rPr>
          <w:rFonts w:hint="eastAsia" w:ascii="宋体" w:hAnsi="宋体" w:eastAsia="宋体" w:cs="宋体"/>
          <w:i/>
          <w:color w:val="auto"/>
          <w:highlight w:val="none"/>
          <w:u w:val="single"/>
          <w:lang w:val="en-US" w:eastAsia="zh-CN"/>
        </w:rPr>
        <w:t>四</w:t>
      </w:r>
      <w:r>
        <w:rPr>
          <w:rFonts w:hint="eastAsia" w:ascii="宋体" w:hAnsi="宋体" w:eastAsia="宋体" w:cs="宋体"/>
          <w:i/>
          <w:color w:val="auto"/>
          <w:highlight w:val="none"/>
          <w:u w:val="single"/>
        </w:rPr>
        <w:t>、开标一览表</w:t>
      </w:r>
    </w:p>
    <w:p w14:paraId="50ED363E">
      <w:pPr>
        <w:pStyle w:val="13"/>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五</w:t>
      </w:r>
      <w:r>
        <w:rPr>
          <w:rFonts w:hint="eastAsia" w:ascii="宋体" w:hAnsi="宋体" w:eastAsia="宋体" w:cs="宋体"/>
          <w:color w:val="auto"/>
          <w:highlight w:val="none"/>
        </w:rPr>
        <w:t>、技术方案、服务承诺、培训承诺等</w:t>
      </w:r>
    </w:p>
    <w:p w14:paraId="67EC9A99">
      <w:pPr>
        <w:pStyle w:val="13"/>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六</w:t>
      </w:r>
      <w:r>
        <w:rPr>
          <w:rFonts w:hint="eastAsia" w:ascii="宋体" w:hAnsi="宋体" w:eastAsia="宋体" w:cs="宋体"/>
          <w:color w:val="auto"/>
          <w:highlight w:val="none"/>
        </w:rPr>
        <w:t>、盐都区政府采购事前信用承诺书</w:t>
      </w:r>
    </w:p>
    <w:p w14:paraId="420A627A">
      <w:pPr>
        <w:pStyle w:val="13"/>
        <w:spacing w:beforeAutospacing="0" w:afterAutospacing="0" w:line="0" w:lineRule="atLeast"/>
        <w:ind w:firstLine="480"/>
        <w:jc w:val="both"/>
        <w:rPr>
          <w:rFonts w:ascii="宋体" w:hAnsi="宋体" w:eastAsia="宋体" w:cs="宋体"/>
          <w:color w:val="auto"/>
          <w:highlight w:val="none"/>
        </w:rPr>
      </w:pPr>
    </w:p>
    <w:p w14:paraId="1779DF20">
      <w:pPr>
        <w:pStyle w:val="13"/>
        <w:spacing w:beforeAutospacing="0" w:afterAutospacing="0" w:line="0" w:lineRule="atLeast"/>
        <w:ind w:firstLine="480"/>
        <w:jc w:val="both"/>
        <w:rPr>
          <w:rFonts w:ascii="宋体" w:hAnsi="宋体" w:eastAsia="宋体" w:cs="宋体"/>
          <w:color w:val="auto"/>
          <w:highlight w:val="none"/>
        </w:rPr>
      </w:pPr>
    </w:p>
    <w:p w14:paraId="5903C966">
      <w:pPr>
        <w:pStyle w:val="13"/>
        <w:spacing w:beforeAutospacing="0" w:afterAutospacing="0" w:line="0" w:lineRule="atLeast"/>
        <w:ind w:firstLine="480"/>
        <w:jc w:val="both"/>
        <w:rPr>
          <w:color w:val="auto"/>
          <w:highlight w:val="none"/>
        </w:rPr>
      </w:pPr>
      <w:r>
        <w:rPr>
          <w:color w:val="auto"/>
          <w:highlight w:val="none"/>
        </w:rPr>
        <w:t> </w:t>
      </w:r>
    </w:p>
    <w:p w14:paraId="76632A8E">
      <w:pPr>
        <w:pStyle w:val="13"/>
        <w:spacing w:beforeAutospacing="0" w:afterAutospacing="0" w:line="0" w:lineRule="atLeast"/>
        <w:ind w:firstLine="480"/>
        <w:jc w:val="both"/>
        <w:rPr>
          <w:color w:val="auto"/>
          <w:highlight w:val="none"/>
        </w:rPr>
      </w:pPr>
      <w:r>
        <w:rPr>
          <w:color w:val="auto"/>
          <w:highlight w:val="none"/>
        </w:rPr>
        <w:t> </w:t>
      </w:r>
    </w:p>
    <w:p w14:paraId="0EC0847A">
      <w:pPr>
        <w:pStyle w:val="13"/>
        <w:spacing w:beforeAutospacing="0" w:afterAutospacing="0" w:line="0" w:lineRule="atLeast"/>
        <w:ind w:firstLine="480"/>
        <w:jc w:val="both"/>
        <w:rPr>
          <w:color w:val="auto"/>
          <w:highlight w:val="none"/>
        </w:rPr>
      </w:pPr>
      <w:r>
        <w:rPr>
          <w:color w:val="auto"/>
          <w:highlight w:val="none"/>
        </w:rPr>
        <w:t> </w:t>
      </w:r>
    </w:p>
    <w:p w14:paraId="50FC6746">
      <w:pPr>
        <w:rPr>
          <w:color w:val="auto"/>
          <w:highlight w:val="none"/>
        </w:rPr>
      </w:pPr>
      <w:r>
        <w:rPr>
          <w:color w:val="auto"/>
          <w:highlight w:val="none"/>
        </w:rPr>
        <w:br w:type="page"/>
      </w:r>
    </w:p>
    <w:p w14:paraId="3BB8FC6F">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一、法人或者其他组织的营业执照等证明文件，自然人的身份证明</w:t>
      </w:r>
    </w:p>
    <w:p w14:paraId="4FB38960">
      <w:pPr>
        <w:pStyle w:val="13"/>
        <w:spacing w:beforeAutospacing="0" w:afterAutospacing="0" w:line="0" w:lineRule="atLeast"/>
        <w:ind w:firstLine="480"/>
        <w:jc w:val="both"/>
        <w:rPr>
          <w:color w:val="auto"/>
          <w:highlight w:val="none"/>
        </w:rPr>
      </w:pPr>
      <w:r>
        <w:rPr>
          <w:color w:val="auto"/>
          <w:highlight w:val="none"/>
        </w:rPr>
        <w:t> </w:t>
      </w:r>
    </w:p>
    <w:p w14:paraId="22A166EE">
      <w:pPr>
        <w:pStyle w:val="13"/>
        <w:spacing w:beforeAutospacing="0" w:afterAutospacing="0"/>
        <w:jc w:val="both"/>
        <w:rPr>
          <w:rFonts w:eastAsia="黑体"/>
          <w:color w:val="auto"/>
          <w:highlight w:val="none"/>
        </w:rPr>
      </w:pPr>
      <w:r>
        <w:rPr>
          <w:rFonts w:hint="eastAsia" w:ascii="黑体" w:hAnsi="宋体" w:eastAsia="黑体" w:cs="黑体"/>
          <w:i/>
          <w:color w:val="auto"/>
          <w:sz w:val="32"/>
          <w:szCs w:val="32"/>
          <w:highlight w:val="none"/>
          <w:u w:val="single"/>
        </w:rPr>
        <w:t>二、</w:t>
      </w:r>
      <w:r>
        <w:rPr>
          <w:rFonts w:hint="eastAsia" w:ascii="黑体" w:hAnsi="宋体" w:eastAsia="黑体" w:cs="黑体"/>
          <w:i/>
          <w:color w:val="auto"/>
          <w:sz w:val="32"/>
          <w:szCs w:val="32"/>
          <w:highlight w:val="none"/>
          <w:u w:val="single"/>
          <w:lang w:eastAsia="zh-CN"/>
        </w:rPr>
        <w:t>上一年度的财务状况报告</w:t>
      </w:r>
    </w:p>
    <w:p w14:paraId="786A257F">
      <w:pPr>
        <w:pStyle w:val="13"/>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（至少提供资产负债表、利润表、现金流量表，投标人成立不满一年无需提供）</w:t>
      </w:r>
    </w:p>
    <w:p w14:paraId="55B46665">
      <w:pPr>
        <w:pStyle w:val="13"/>
        <w:spacing w:beforeAutospacing="0" w:afterAutospacing="0"/>
        <w:jc w:val="both"/>
        <w:rPr>
          <w:color w:val="auto"/>
          <w:highlight w:val="none"/>
        </w:rPr>
      </w:pPr>
    </w:p>
    <w:p w14:paraId="34FEDEC4">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三、具备履行合同所必需的设备和专业技术能力的书面声明</w:t>
      </w:r>
    </w:p>
    <w:p w14:paraId="3E1CFC31">
      <w:pPr>
        <w:pStyle w:val="13"/>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6FB804BC">
      <w:pPr>
        <w:pStyle w:val="13"/>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514EF44D">
      <w:pPr>
        <w:pStyle w:val="13"/>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1804CB82">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四、依法缴纳税收和社会保障资金的相关材料</w:t>
      </w:r>
    </w:p>
    <w:p w14:paraId="462B13A2">
      <w:pPr>
        <w:pStyle w:val="13"/>
        <w:spacing w:beforeAutospacing="0" w:afterAutospacing="0"/>
        <w:ind w:firstLine="480"/>
        <w:jc w:val="both"/>
        <w:rPr>
          <w:color w:val="auto"/>
          <w:highlight w:val="none"/>
        </w:rPr>
      </w:pPr>
      <w:bookmarkStart w:id="193" w:name="_Toc120614284"/>
      <w:r>
        <w:rPr>
          <w:rFonts w:hint="eastAsia" w:ascii="宋体" w:hAnsi="宋体" w:eastAsia="宋体" w:cs="宋体"/>
          <w:color w:val="auto"/>
          <w:highlight w:val="none"/>
        </w:rPr>
        <w:t>提供提交投标文件截止时间前一年内至少一个月依法缴纳税收及缴纳社会保障资金的证明材料。投标人依法享受缓缴、免缴税收、社会保障资金的提供证明材料。</w:t>
      </w:r>
      <w:bookmarkEnd w:id="193"/>
    </w:p>
    <w:p w14:paraId="399F01C8">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7CE2D667">
      <w:pPr>
        <w:pStyle w:val="13"/>
        <w:spacing w:beforeAutospacing="0" w:afterAutospacing="0" w:line="0" w:lineRule="atLeast"/>
        <w:jc w:val="both"/>
        <w:rPr>
          <w:color w:val="auto"/>
          <w:highlight w:val="none"/>
        </w:rPr>
      </w:pPr>
      <w:r>
        <w:rPr>
          <w:rFonts w:hint="eastAsia" w:ascii="宋体" w:hAnsi="宋体" w:eastAsia="宋体" w:cs="宋体"/>
          <w:b/>
          <w:color w:val="auto"/>
          <w:sz w:val="44"/>
          <w:szCs w:val="44"/>
          <w:highlight w:val="none"/>
        </w:rPr>
        <w:t>       声  明</w:t>
      </w:r>
    </w:p>
    <w:p w14:paraId="576C044A">
      <w:pPr>
        <w:pStyle w:val="13"/>
        <w:spacing w:beforeAutospacing="0" w:afterAutospacing="0" w:line="0" w:lineRule="atLeast"/>
        <w:jc w:val="both"/>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6BB59A96">
      <w:pPr>
        <w:pStyle w:val="13"/>
        <w:spacing w:beforeAutospacing="0" w:afterAutospacing="0"/>
        <w:jc w:val="both"/>
        <w:rPr>
          <w:color w:val="auto"/>
          <w:highlight w:val="none"/>
        </w:rPr>
      </w:pPr>
      <w:r>
        <w:rPr>
          <w:color w:val="auto"/>
          <w:highlight w:val="none"/>
        </w:rPr>
        <w:t> </w:t>
      </w:r>
    </w:p>
    <w:p w14:paraId="22CB6886">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六、特定资格要求的证明文件</w:t>
      </w:r>
    </w:p>
    <w:p w14:paraId="2E01792F">
      <w:pPr>
        <w:pStyle w:val="13"/>
        <w:spacing w:beforeAutospacing="0" w:afterAutospacing="0" w:line="0" w:lineRule="atLeast"/>
        <w:jc w:val="both"/>
        <w:rPr>
          <w:color w:val="auto"/>
          <w:highlight w:val="none"/>
        </w:rPr>
      </w:pPr>
      <w:r>
        <w:rPr>
          <w:rFonts w:hint="eastAsia" w:ascii="宋体" w:hAnsi="宋体" w:eastAsia="宋体" w:cs="宋体"/>
          <w:color w:val="auto"/>
          <w:highlight w:val="none"/>
        </w:rPr>
        <w:t>    如果本项目申请人的特定资格要求中要求提供的，必须提供。</w:t>
      </w:r>
    </w:p>
    <w:p w14:paraId="5084459D">
      <w:pPr>
        <w:pStyle w:val="13"/>
        <w:spacing w:beforeAutospacing="0" w:afterAutospacing="0" w:line="0" w:lineRule="atLeast"/>
        <w:jc w:val="both"/>
        <w:rPr>
          <w:color w:val="auto"/>
          <w:highlight w:val="none"/>
        </w:rPr>
      </w:pPr>
      <w:r>
        <w:rPr>
          <w:color w:val="auto"/>
          <w:highlight w:val="none"/>
        </w:rPr>
        <w:t> </w:t>
      </w:r>
    </w:p>
    <w:p w14:paraId="06F4D332">
      <w:pPr>
        <w:pStyle w:val="13"/>
        <w:spacing w:beforeAutospacing="0" w:afterAutospacing="0"/>
        <w:jc w:val="center"/>
        <w:rPr>
          <w:rFonts w:ascii="黑体" w:hAnsi="宋体" w:eastAsia="黑体" w:cs="黑体"/>
          <w:i/>
          <w:color w:val="auto"/>
          <w:sz w:val="32"/>
          <w:szCs w:val="32"/>
          <w:highlight w:val="none"/>
          <w:u w:val="single"/>
        </w:rPr>
      </w:pPr>
    </w:p>
    <w:p w14:paraId="1AB16DA7">
      <w:pPr>
        <w:pStyle w:val="13"/>
        <w:spacing w:beforeAutospacing="0" w:afterAutospacing="0"/>
        <w:jc w:val="center"/>
        <w:rPr>
          <w:rFonts w:ascii="黑体" w:hAnsi="宋体" w:eastAsia="黑体" w:cs="黑体"/>
          <w:i/>
          <w:color w:val="auto"/>
          <w:sz w:val="32"/>
          <w:szCs w:val="32"/>
          <w:highlight w:val="none"/>
          <w:u w:val="single"/>
        </w:rPr>
      </w:pPr>
    </w:p>
    <w:p w14:paraId="404E2016">
      <w:pPr>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br w:type="page"/>
      </w:r>
    </w:p>
    <w:p w14:paraId="3E9B23E9">
      <w:pPr>
        <w:pStyle w:val="13"/>
        <w:spacing w:beforeAutospacing="0" w:afterAutospacing="0"/>
        <w:jc w:val="center"/>
        <w:rPr>
          <w:color w:val="auto"/>
          <w:highlight w:val="none"/>
        </w:rPr>
      </w:pPr>
      <w:r>
        <w:rPr>
          <w:rFonts w:hint="eastAsia" w:ascii="黑体" w:hAnsi="宋体" w:eastAsia="黑体" w:cs="黑体"/>
          <w:i/>
          <w:color w:val="auto"/>
          <w:sz w:val="32"/>
          <w:szCs w:val="32"/>
          <w:highlight w:val="none"/>
          <w:u w:val="single"/>
        </w:rPr>
        <w:t>七、法人授权书</w:t>
      </w:r>
    </w:p>
    <w:p w14:paraId="1A5940F3">
      <w:pPr>
        <w:pStyle w:val="13"/>
        <w:tabs>
          <w:tab w:val="left" w:pos="360"/>
        </w:tabs>
        <w:spacing w:beforeAutospacing="0" w:afterAutospacing="0"/>
        <w:ind w:firstLine="480"/>
        <w:jc w:val="both"/>
        <w:rPr>
          <w:color w:val="auto"/>
          <w:highlight w:val="none"/>
        </w:rPr>
      </w:pPr>
      <w:r>
        <w:rPr>
          <w:rFonts w:ascii="Times New Roman" w:hAnsi="Times New Roman"/>
          <w:color w:val="auto"/>
          <w:highlight w:val="none"/>
        </w:rPr>
        <w:t>本授权书声明：____________（投标人名称）授权________________（被授权人的姓名）为我方就</w:t>
      </w:r>
      <w:r>
        <w:rPr>
          <w:rFonts w:hint="eastAsia" w:ascii="Times New Roman" w:hAnsi="Times New Roman"/>
          <w:color w:val="auto"/>
          <w:highlight w:val="none"/>
          <w:u w:val="single"/>
          <w:lang w:val="en-US" w:eastAsia="zh-CN"/>
        </w:rPr>
        <w:t xml:space="preserve">            </w:t>
      </w:r>
      <w:r>
        <w:rPr>
          <w:rFonts w:ascii="Times New Roman" w:hAnsi="Times New Roman"/>
          <w:color w:val="auto"/>
          <w:highlight w:val="none"/>
        </w:rPr>
        <w:t>号项目采购活动的合法代理人，以本单位名义全权处理一切与该项目采购有关的事务。</w:t>
      </w:r>
    </w:p>
    <w:p w14:paraId="709404A9">
      <w:pPr>
        <w:pStyle w:val="13"/>
        <w:tabs>
          <w:tab w:val="left" w:pos="360"/>
        </w:tabs>
        <w:spacing w:beforeAutospacing="0" w:afterAutospacing="0"/>
        <w:ind w:firstLine="480"/>
        <w:jc w:val="both"/>
        <w:rPr>
          <w:color w:val="auto"/>
          <w:highlight w:val="none"/>
        </w:rPr>
      </w:pPr>
      <w:r>
        <w:rPr>
          <w:rFonts w:ascii="Times New Roman" w:hAnsi="Times New Roman"/>
          <w:color w:val="auto"/>
          <w:highlight w:val="none"/>
        </w:rPr>
        <w:t>本授权书于______年____月____日起生效，特此声明。</w:t>
      </w:r>
    </w:p>
    <w:p w14:paraId="6EB68325">
      <w:pPr>
        <w:pStyle w:val="13"/>
        <w:tabs>
          <w:tab w:val="left" w:pos="360"/>
        </w:tabs>
        <w:spacing w:beforeAutospacing="0" w:afterAutospacing="0"/>
        <w:jc w:val="both"/>
        <w:rPr>
          <w:color w:val="auto"/>
          <w:highlight w:val="none"/>
        </w:rPr>
      </w:pPr>
      <w:r>
        <w:rPr>
          <w:rFonts w:ascii="Times New Roman" w:hAnsi="Times New Roman"/>
          <w:color w:val="auto"/>
          <w:highlight w:val="none"/>
        </w:rPr>
        <w:t>          被授权人身份证号码：</w:t>
      </w:r>
      <w:r>
        <w:rPr>
          <w:rFonts w:ascii="Times New Roman" w:hAnsi="Times New Roman"/>
          <w:color w:val="auto"/>
          <w:highlight w:val="none"/>
          <w:u w:val="single"/>
        </w:rPr>
        <w:t xml:space="preserve">                              </w:t>
      </w:r>
    </w:p>
    <w:p w14:paraId="16E3163C">
      <w:pPr>
        <w:pStyle w:val="13"/>
        <w:tabs>
          <w:tab w:val="left" w:pos="360"/>
        </w:tabs>
        <w:spacing w:beforeAutospacing="0" w:afterAutospacing="0"/>
        <w:jc w:val="both"/>
        <w:rPr>
          <w:color w:val="auto"/>
          <w:highlight w:val="none"/>
        </w:rPr>
      </w:pPr>
      <w:r>
        <w:rPr>
          <w:rFonts w:ascii="Times New Roman" w:hAnsi="Times New Roman"/>
          <w:color w:val="auto"/>
          <w:highlight w:val="none"/>
        </w:rPr>
        <w:t>          被授权人联系电话：（手机）</w:t>
      </w:r>
      <w:r>
        <w:rPr>
          <w:rFonts w:ascii="Times New Roman" w:hAnsi="Times New Roman"/>
          <w:color w:val="auto"/>
          <w:highlight w:val="none"/>
          <w:u w:val="single"/>
        </w:rPr>
        <w:t xml:space="preserve">                          </w:t>
      </w:r>
    </w:p>
    <w:p w14:paraId="23CAAEDE">
      <w:pPr>
        <w:pStyle w:val="13"/>
        <w:tabs>
          <w:tab w:val="left" w:pos="360"/>
        </w:tabs>
        <w:spacing w:beforeAutospacing="0" w:afterAutospacing="0"/>
        <w:ind w:firstLine="1200"/>
        <w:jc w:val="both"/>
        <w:rPr>
          <w:color w:val="auto"/>
          <w:highlight w:val="none"/>
        </w:rPr>
      </w:pPr>
      <w:r>
        <w:rPr>
          <w:rFonts w:ascii="Times New Roman" w:hAnsi="Times New Roman"/>
          <w:color w:val="auto"/>
          <w:highlight w:val="none"/>
        </w:rPr>
        <w:t>授权单位名称：</w:t>
      </w:r>
      <w:r>
        <w:rPr>
          <w:rFonts w:ascii="Times New Roman" w:hAnsi="Times New Roman"/>
          <w:color w:val="auto"/>
          <w:highlight w:val="none"/>
          <w:u w:val="single"/>
        </w:rPr>
        <w:t>（加盖CA电子公章）</w:t>
      </w:r>
    </w:p>
    <w:p w14:paraId="02D72DCC">
      <w:pPr>
        <w:pStyle w:val="13"/>
        <w:tabs>
          <w:tab w:val="left" w:pos="360"/>
        </w:tabs>
        <w:spacing w:beforeAutospacing="0" w:afterAutospacing="0"/>
        <w:ind w:firstLine="480"/>
        <w:jc w:val="both"/>
        <w:rPr>
          <w:color w:val="auto"/>
          <w:highlight w:val="none"/>
        </w:rPr>
      </w:pPr>
      <w:r>
        <w:rPr>
          <w:rFonts w:ascii="Times New Roman" w:hAnsi="Times New Roman"/>
          <w:color w:val="auto"/>
          <w:highlight w:val="none"/>
        </w:rPr>
        <w:t>      单位地址：</w:t>
      </w:r>
      <w:r>
        <w:rPr>
          <w:rFonts w:ascii="Times New Roman" w:hAnsi="Times New Roman"/>
          <w:color w:val="auto"/>
          <w:highlight w:val="none"/>
          <w:u w:val="single"/>
        </w:rPr>
        <w:t xml:space="preserve">                                         </w:t>
      </w:r>
    </w:p>
    <w:p w14:paraId="5F2B9D8D">
      <w:pPr>
        <w:pStyle w:val="13"/>
        <w:tabs>
          <w:tab w:val="left" w:pos="360"/>
        </w:tabs>
        <w:spacing w:beforeAutospacing="0" w:afterAutospacing="0"/>
        <w:ind w:firstLine="480"/>
        <w:jc w:val="both"/>
        <w:rPr>
          <w:color w:val="auto"/>
          <w:highlight w:val="none"/>
        </w:rPr>
      </w:pPr>
      <w:r>
        <w:rPr>
          <w:rFonts w:ascii="Times New Roman" w:hAnsi="Times New Roman"/>
          <w:color w:val="auto"/>
          <w:highlight w:val="none"/>
        </w:rPr>
        <w:t>      日期：</w:t>
      </w:r>
      <w:bookmarkStart w:id="194" w:name="_Hlt26671380"/>
      <w:bookmarkStart w:id="195" w:name="_Hlt26955070"/>
      <w:bookmarkStart w:id="196" w:name="_格式3__银行出具的资信证明"/>
      <w:r>
        <w:rPr>
          <w:rFonts w:ascii="Times New Roman" w:hAnsi="Times New Roman"/>
          <w:color w:val="auto"/>
          <w:highlight w:val="none"/>
          <w:u w:val="single"/>
        </w:rPr>
        <w:t xml:space="preserve">                                         </w:t>
      </w:r>
    </w:p>
    <w:p w14:paraId="41F9C582">
      <w:pPr>
        <w:pStyle w:val="13"/>
        <w:spacing w:beforeAutospacing="0" w:afterAutospacing="0"/>
        <w:ind w:firstLine="420"/>
        <w:jc w:val="both"/>
        <w:rPr>
          <w:color w:val="auto"/>
          <w:highlight w:val="none"/>
        </w:rPr>
      </w:pPr>
      <w:r>
        <w:rPr>
          <w:color w:val="auto"/>
          <w:highlight w:val="none"/>
        </w:rPr>
        <w:t> </w:t>
      </w:r>
    </w:p>
    <w:p w14:paraId="62563498">
      <w:pPr>
        <w:pStyle w:val="13"/>
        <w:spacing w:beforeAutospacing="0" w:afterAutospacing="0"/>
        <w:jc w:val="both"/>
        <w:rPr>
          <w:color w:val="auto"/>
          <w:highlight w:val="none"/>
        </w:rPr>
      </w:pPr>
      <w:r>
        <w:rPr>
          <w:color w:val="auto"/>
          <w:highlight w:val="none"/>
        </w:rPr>
        <w:t> </w:t>
      </w:r>
    </w:p>
    <w:p w14:paraId="536EA024">
      <w:pPr>
        <w:pStyle w:val="13"/>
        <w:spacing w:beforeAutospacing="0" w:afterAutospacing="0" w:line="0" w:lineRule="atLeast"/>
        <w:jc w:val="both"/>
        <w:rPr>
          <w:color w:val="auto"/>
          <w:highlight w:val="none"/>
        </w:rPr>
      </w:pPr>
      <w:r>
        <w:rPr>
          <w:color w:val="auto"/>
          <w:highlight w:val="none"/>
        </w:rPr>
        <w:t> </w:t>
      </w:r>
    </w:p>
    <w:p w14:paraId="5B83043C">
      <w:pPr>
        <w:pStyle w:val="13"/>
        <w:spacing w:beforeAutospacing="0" w:afterAutospacing="0" w:line="0" w:lineRule="atLeast"/>
        <w:jc w:val="both"/>
        <w:rPr>
          <w:color w:val="auto"/>
          <w:highlight w:val="none"/>
        </w:rPr>
      </w:pPr>
      <w:r>
        <w:rPr>
          <w:color w:val="auto"/>
          <w:highlight w:val="none"/>
        </w:rPr>
        <w:t> </w:t>
      </w:r>
    </w:p>
    <w:p w14:paraId="111F57FA">
      <w:pPr>
        <w:pStyle w:val="13"/>
        <w:keepNext/>
        <w:keepLines/>
        <w:spacing w:before="260" w:beforeAutospacing="0" w:after="260" w:afterAutospacing="0" w:line="415" w:lineRule="auto"/>
        <w:ind w:firstLine="3390"/>
        <w:jc w:val="both"/>
        <w:rPr>
          <w:rFonts w:ascii="黑体" w:hAnsi="宋体" w:eastAsia="黑体" w:cs="黑体"/>
          <w:b/>
          <w:color w:val="auto"/>
          <w:sz w:val="32"/>
          <w:szCs w:val="32"/>
          <w:highlight w:val="none"/>
        </w:rPr>
      </w:pPr>
      <w:r>
        <w:rPr>
          <w:rFonts w:hint="eastAsia" w:ascii="宋体" w:hAnsi="宋体" w:eastAsia="宋体" w:cs="宋体"/>
          <w:b/>
          <w:color w:val="auto"/>
          <w:highlight w:val="none"/>
        </w:rPr>
        <w:br w:type="page"/>
      </w:r>
      <w:r>
        <w:rPr>
          <w:rFonts w:hint="eastAsia" w:ascii="宋体" w:hAnsi="宋体" w:eastAsia="宋体" w:cs="宋体"/>
          <w:b/>
          <w:color w:val="auto"/>
          <w:highlight w:val="none"/>
        </w:rPr>
        <w:t> </w:t>
      </w:r>
      <w:r>
        <w:rPr>
          <w:rFonts w:hint="eastAsia" w:ascii="黑体" w:hAnsi="宋体" w:eastAsia="黑体" w:cs="黑体"/>
          <w:b/>
          <w:color w:val="auto"/>
          <w:sz w:val="32"/>
          <w:szCs w:val="32"/>
          <w:highlight w:val="none"/>
        </w:rPr>
        <w:t>八、投标函</w:t>
      </w:r>
    </w:p>
    <w:p w14:paraId="7787FAAB">
      <w:pPr>
        <w:pStyle w:val="13"/>
        <w:spacing w:beforeAutospacing="0" w:afterAutospacing="0" w:line="0" w:lineRule="atLeast"/>
        <w:rPr>
          <w:color w:val="auto"/>
          <w:highlight w:val="none"/>
        </w:rPr>
      </w:pPr>
      <w:r>
        <w:rPr>
          <w:rFonts w:hint="eastAsia" w:ascii="宋体" w:hAnsi="宋体" w:eastAsia="宋体" w:cs="宋体"/>
          <w:color w:val="auto"/>
          <w:highlight w:val="none"/>
        </w:rPr>
        <w:t>致：盐城市盐都区公共资源交易中心</w:t>
      </w:r>
    </w:p>
    <w:p w14:paraId="460D70D2">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根据贵方的</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号</w:t>
      </w:r>
      <w:r>
        <w:rPr>
          <w:rFonts w:hint="eastAsia" w:ascii="宋体" w:hAnsi="宋体" w:eastAsia="宋体" w:cs="宋体"/>
          <w:color w:val="auto"/>
          <w:highlight w:val="none"/>
        </w:rPr>
        <w:t>招标文件，正式授权下述签字人______(姓名)代表我方______________（投标人的名称），全权处理本次项目投标的有关事宜。</w:t>
      </w:r>
    </w:p>
    <w:p w14:paraId="3D99D967">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据此函，__________签字人兹宣布同意如下：</w:t>
      </w:r>
    </w:p>
    <w:p w14:paraId="0296FC99">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1.按招标文件规定的各项要求，向买方提供所需服务（包含与服务相关的货物）。</w:t>
      </w:r>
    </w:p>
    <w:p w14:paraId="712A756D">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2.我们完全理解贵方不一定将合同授予最低报价的投标人。</w:t>
      </w:r>
    </w:p>
    <w:p w14:paraId="1C1596AE">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3.我们已详细审核全部招标文件及其有效补充文件，我们知道必须放弃提出含糊不清或误解问题的权利。</w:t>
      </w:r>
    </w:p>
    <w:p w14:paraId="2ECE1662">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4.我们同意从规定的开标日期起遵循本投标文件，并在规定的投标有效期期满之前均具有约束力。</w:t>
      </w:r>
    </w:p>
    <w:p w14:paraId="5D1E06CE">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5.同意向贵方提供贵方可能另外要求的与投标有关的任何证据或资料，并保证我方已提供和将要提供的文件是真实的、准确的。</w:t>
      </w:r>
    </w:p>
    <w:p w14:paraId="6DCB6B10">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6.一旦我方中标,我方将根据招标文件的规定，严格履行合同的责任和义务,并保证在招标文件规定的时间完成项目，交付买方验收、使用。</w:t>
      </w:r>
    </w:p>
    <w:p w14:paraId="60CFD457">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7.与本投标有关的正式通讯地址为：</w:t>
      </w:r>
    </w:p>
    <w:p w14:paraId="65210B73">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地          址：</w:t>
      </w:r>
    </w:p>
    <w:p w14:paraId="5E1CACA6">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邮          编：</w:t>
      </w:r>
    </w:p>
    <w:p w14:paraId="4A7F9658">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电          话：</w:t>
      </w:r>
    </w:p>
    <w:p w14:paraId="5AF6DC56">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传          真：</w:t>
      </w:r>
    </w:p>
    <w:p w14:paraId="4CE066C9">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投标人开户行：</w:t>
      </w:r>
    </w:p>
    <w:p w14:paraId="5831478F">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 xml:space="preserve">账          号： </w:t>
      </w:r>
    </w:p>
    <w:p w14:paraId="3AEF64CF">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日           期：________年____月____日</w:t>
      </w:r>
    </w:p>
    <w:p w14:paraId="651E1465">
      <w:pPr>
        <w:pStyle w:val="13"/>
        <w:spacing w:beforeAutospacing="0" w:afterAutospacing="0" w:line="0" w:lineRule="atLeast"/>
        <w:ind w:firstLine="240"/>
        <w:jc w:val="center"/>
        <w:rPr>
          <w:color w:val="auto"/>
          <w:highlight w:val="none"/>
        </w:rPr>
      </w:pPr>
      <w:r>
        <w:rPr>
          <w:color w:val="auto"/>
          <w:highlight w:val="none"/>
        </w:rPr>
        <w:t> </w:t>
      </w:r>
    </w:p>
    <w:p w14:paraId="02C26FBC">
      <w:pPr>
        <w:pStyle w:val="13"/>
        <w:spacing w:beforeAutospacing="0" w:afterAutospacing="0" w:line="0" w:lineRule="atLeast"/>
        <w:ind w:firstLine="240"/>
        <w:jc w:val="center"/>
        <w:rPr>
          <w:color w:val="auto"/>
          <w:highlight w:val="none"/>
        </w:rPr>
      </w:pPr>
      <w:r>
        <w:rPr>
          <w:color w:val="auto"/>
          <w:highlight w:val="none"/>
        </w:rPr>
        <w:t> </w:t>
      </w:r>
    </w:p>
    <w:p w14:paraId="5B3B70D5">
      <w:pPr>
        <w:pStyle w:val="13"/>
        <w:spacing w:beforeAutospacing="0" w:afterAutospacing="0" w:line="0" w:lineRule="atLeast"/>
        <w:ind w:firstLine="240"/>
        <w:jc w:val="center"/>
        <w:rPr>
          <w:color w:val="auto"/>
          <w:highlight w:val="none"/>
        </w:rPr>
      </w:pPr>
      <w:r>
        <w:rPr>
          <w:color w:val="auto"/>
          <w:highlight w:val="none"/>
        </w:rPr>
        <w:t> </w:t>
      </w:r>
    </w:p>
    <w:p w14:paraId="7926AA33">
      <w:pPr>
        <w:pStyle w:val="13"/>
        <w:spacing w:beforeAutospacing="0" w:afterAutospacing="0" w:line="0" w:lineRule="atLeast"/>
        <w:ind w:firstLine="240"/>
        <w:jc w:val="center"/>
        <w:rPr>
          <w:color w:val="auto"/>
          <w:highlight w:val="none"/>
        </w:rPr>
      </w:pPr>
      <w:r>
        <w:rPr>
          <w:color w:val="auto"/>
          <w:highlight w:val="none"/>
        </w:rPr>
        <w:t> </w:t>
      </w:r>
    </w:p>
    <w:p w14:paraId="4AB6A22A">
      <w:pPr>
        <w:pStyle w:val="13"/>
        <w:spacing w:beforeAutospacing="0" w:afterAutospacing="0" w:line="0" w:lineRule="atLeast"/>
        <w:ind w:firstLine="240"/>
        <w:jc w:val="center"/>
        <w:rPr>
          <w:color w:val="auto"/>
          <w:highlight w:val="none"/>
        </w:rPr>
      </w:pPr>
      <w:r>
        <w:rPr>
          <w:color w:val="auto"/>
          <w:highlight w:val="none"/>
        </w:rPr>
        <w:t> </w:t>
      </w:r>
    </w:p>
    <w:p w14:paraId="60616794">
      <w:pPr>
        <w:pStyle w:val="13"/>
        <w:spacing w:beforeAutospacing="0" w:afterAutospacing="0" w:line="0" w:lineRule="atLeast"/>
        <w:ind w:firstLine="240"/>
        <w:jc w:val="center"/>
        <w:rPr>
          <w:color w:val="auto"/>
          <w:highlight w:val="none"/>
        </w:rPr>
      </w:pPr>
    </w:p>
    <w:p w14:paraId="0A2F031C">
      <w:pPr>
        <w:pStyle w:val="13"/>
        <w:spacing w:beforeAutospacing="0" w:afterAutospacing="0" w:line="0" w:lineRule="atLeast"/>
        <w:ind w:firstLine="240"/>
        <w:jc w:val="center"/>
        <w:rPr>
          <w:color w:val="auto"/>
          <w:highlight w:val="none"/>
        </w:rPr>
      </w:pPr>
    </w:p>
    <w:p w14:paraId="6C2E4C92">
      <w:pPr>
        <w:pStyle w:val="13"/>
        <w:spacing w:beforeAutospacing="0" w:afterAutospacing="0" w:line="0" w:lineRule="atLeast"/>
        <w:ind w:firstLine="240"/>
        <w:jc w:val="center"/>
        <w:rPr>
          <w:color w:val="auto"/>
          <w:highlight w:val="none"/>
        </w:rPr>
      </w:pPr>
    </w:p>
    <w:p w14:paraId="20F22F57">
      <w:pPr>
        <w:pStyle w:val="13"/>
        <w:spacing w:beforeAutospacing="0" w:afterAutospacing="0" w:line="0" w:lineRule="atLeast"/>
        <w:ind w:firstLine="240"/>
        <w:jc w:val="center"/>
        <w:rPr>
          <w:color w:val="auto"/>
          <w:highlight w:val="none"/>
        </w:rPr>
      </w:pPr>
    </w:p>
    <w:p w14:paraId="15B00392">
      <w:pPr>
        <w:pStyle w:val="13"/>
        <w:spacing w:beforeAutospacing="0" w:afterAutospacing="0" w:line="0" w:lineRule="atLeast"/>
        <w:ind w:firstLine="240"/>
        <w:jc w:val="center"/>
        <w:rPr>
          <w:color w:val="auto"/>
          <w:highlight w:val="none"/>
        </w:rPr>
      </w:pPr>
    </w:p>
    <w:p w14:paraId="24EF9FB8">
      <w:pPr>
        <w:pStyle w:val="13"/>
        <w:spacing w:beforeAutospacing="0" w:afterAutospacing="0" w:line="0" w:lineRule="atLeast"/>
        <w:ind w:firstLine="240"/>
        <w:jc w:val="center"/>
        <w:rPr>
          <w:color w:val="auto"/>
          <w:highlight w:val="none"/>
        </w:rPr>
      </w:pPr>
    </w:p>
    <w:p w14:paraId="25048188">
      <w:pPr>
        <w:pStyle w:val="13"/>
        <w:spacing w:beforeAutospacing="0" w:afterAutospacing="0" w:line="0" w:lineRule="atLeast"/>
        <w:ind w:firstLine="240"/>
        <w:jc w:val="center"/>
        <w:rPr>
          <w:color w:val="auto"/>
          <w:highlight w:val="none"/>
        </w:rPr>
      </w:pPr>
    </w:p>
    <w:p w14:paraId="67C442E0">
      <w:pPr>
        <w:pStyle w:val="13"/>
        <w:spacing w:beforeAutospacing="0" w:afterAutospacing="0" w:line="0" w:lineRule="atLeast"/>
        <w:ind w:firstLine="240"/>
        <w:jc w:val="center"/>
        <w:rPr>
          <w:color w:val="auto"/>
          <w:highlight w:val="none"/>
        </w:rPr>
      </w:pPr>
    </w:p>
    <w:p w14:paraId="1813A947">
      <w:pPr>
        <w:pStyle w:val="13"/>
        <w:spacing w:beforeAutospacing="0" w:afterAutospacing="0" w:line="0" w:lineRule="atLeast"/>
        <w:ind w:firstLine="240"/>
        <w:jc w:val="center"/>
        <w:rPr>
          <w:color w:val="auto"/>
          <w:highlight w:val="none"/>
        </w:rPr>
      </w:pPr>
    </w:p>
    <w:p w14:paraId="7582486A">
      <w:pPr>
        <w:pStyle w:val="13"/>
        <w:spacing w:beforeAutospacing="0" w:afterAutospacing="0" w:line="0" w:lineRule="atLeast"/>
        <w:ind w:firstLine="240"/>
        <w:jc w:val="center"/>
        <w:rPr>
          <w:color w:val="auto"/>
          <w:highlight w:val="none"/>
        </w:rPr>
      </w:pPr>
    </w:p>
    <w:p w14:paraId="334494EA">
      <w:pPr>
        <w:pStyle w:val="13"/>
        <w:spacing w:beforeAutospacing="0" w:afterAutospacing="0" w:line="0" w:lineRule="atLeast"/>
        <w:ind w:firstLine="240"/>
        <w:jc w:val="center"/>
        <w:rPr>
          <w:color w:val="auto"/>
          <w:highlight w:val="none"/>
        </w:rPr>
      </w:pPr>
    </w:p>
    <w:p w14:paraId="17B9CC57">
      <w:pPr>
        <w:pStyle w:val="13"/>
        <w:spacing w:beforeAutospacing="0" w:afterAutospacing="0" w:line="0" w:lineRule="atLeast"/>
        <w:jc w:val="center"/>
        <w:rPr>
          <w:color w:val="auto"/>
          <w:highlight w:val="none"/>
        </w:rPr>
      </w:pPr>
      <w:r>
        <w:rPr>
          <w:color w:val="auto"/>
          <w:highlight w:val="none"/>
        </w:rPr>
        <w:t> </w:t>
      </w:r>
    </w:p>
    <w:p w14:paraId="41A7D0CF">
      <w:pPr>
        <w:pStyle w:val="13"/>
        <w:spacing w:beforeAutospacing="0" w:afterAutospacing="0" w:line="0" w:lineRule="atLeast"/>
        <w:jc w:val="center"/>
        <w:rPr>
          <w:rFonts w:hint="eastAsia" w:ascii="黑体" w:hAnsi="宋体" w:eastAsia="黑体" w:cs="黑体"/>
          <w:b/>
          <w:color w:val="auto"/>
          <w:sz w:val="32"/>
          <w:szCs w:val="32"/>
          <w:highlight w:val="none"/>
        </w:rPr>
      </w:pPr>
    </w:p>
    <w:p w14:paraId="33B6696B">
      <w:pPr>
        <w:pStyle w:val="13"/>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九、中小企业声明函（服务）</w:t>
      </w:r>
    </w:p>
    <w:p w14:paraId="3F9086A0">
      <w:pPr>
        <w:pStyle w:val="13"/>
        <w:spacing w:beforeAutospacing="0" w:afterAutospacing="0" w:line="0" w:lineRule="atLeast"/>
        <w:ind w:firstLine="360"/>
        <w:jc w:val="both"/>
        <w:rPr>
          <w:color w:val="auto"/>
          <w:highlight w:val="none"/>
        </w:rPr>
      </w:pPr>
      <w:r>
        <w:rPr>
          <w:rFonts w:hint="eastAsia" w:ascii="宋体" w:hAnsi="宋体" w:eastAsia="宋体" w:cs="宋体"/>
          <w:color w:val="auto"/>
          <w:highlight w:val="none"/>
        </w:rPr>
        <w:t>本公司（联合体）郑重声明，根据《政府采购促进中小企业发展管理办法》(财库[2020]46号)的规定，本公司（联合体）参加盐城市盐都区公共资源交易中心组织的</w:t>
      </w:r>
      <w:r>
        <w:rPr>
          <w:rFonts w:hint="eastAsia" w:ascii="宋体" w:hAnsi="宋体" w:eastAsia="宋体" w:cs="宋体"/>
          <w:color w:val="auto"/>
          <w:highlight w:val="none"/>
          <w:u w:val="single"/>
        </w:rPr>
        <w:t>（单位名称）</w:t>
      </w:r>
      <w:r>
        <w:rPr>
          <w:rFonts w:hint="eastAsia" w:ascii="宋体" w:hAnsi="宋体" w:eastAsia="宋体" w:cs="宋体"/>
          <w:color w:val="auto"/>
          <w:highlight w:val="none"/>
        </w:rPr>
        <w:t>采购编号为</w:t>
      </w:r>
      <w:r>
        <w:rPr>
          <w:rFonts w:hint="eastAsia" w:ascii="宋体" w:hAnsi="宋体" w:eastAsia="宋体" w:cs="宋体"/>
          <w:color w:val="auto"/>
          <w:highlight w:val="none"/>
          <w:u w:val="single"/>
        </w:rPr>
        <w:t>***</w:t>
      </w:r>
      <w:r>
        <w:rPr>
          <w:rFonts w:hint="eastAsia" w:ascii="宋体" w:hAnsi="宋体" w:eastAsia="宋体" w:cs="宋体"/>
          <w:color w:val="auto"/>
          <w:highlight w:val="none"/>
        </w:rPr>
        <w:t>，</w:t>
      </w:r>
      <w:r>
        <w:rPr>
          <w:rFonts w:hint="eastAsia" w:ascii="宋体" w:hAnsi="宋体" w:eastAsia="宋体" w:cs="宋体"/>
          <w:color w:val="auto"/>
          <w:highlight w:val="none"/>
          <w:u w:val="single"/>
        </w:rPr>
        <w:t>（项目名称）（分包号：**）</w:t>
      </w:r>
      <w:r>
        <w:rPr>
          <w:rFonts w:hint="eastAsia" w:ascii="宋体" w:hAnsi="宋体" w:eastAsia="宋体" w:cs="宋体"/>
          <w:color w:val="auto"/>
          <w:highlight w:val="none"/>
        </w:rPr>
        <w:t>的采购活动，服务全部由符合政策的</w:t>
      </w:r>
      <w:r>
        <w:rPr>
          <w:rFonts w:hint="eastAsia" w:ascii="宋体" w:hAnsi="宋体" w:eastAsia="宋体" w:cs="宋体"/>
          <w:color w:val="auto"/>
          <w:highlight w:val="none"/>
          <w:lang w:val="en-US" w:eastAsia="zh-CN"/>
        </w:rPr>
        <w:t>中</w:t>
      </w:r>
      <w:r>
        <w:rPr>
          <w:rFonts w:hint="eastAsia" w:ascii="宋体" w:hAnsi="宋体" w:eastAsia="宋体" w:cs="宋体"/>
          <w:color w:val="auto"/>
          <w:highlight w:val="none"/>
        </w:rPr>
        <w:t>小企业承接。根据《工业和信息化部、国家统计局、国家发展和改革委员会、财政部关于印发中小企业划型标准规定的通知》(工信部联企业[2011]300号)的规定，相关企业（含联合体中的</w:t>
      </w:r>
      <w:r>
        <w:rPr>
          <w:rFonts w:hint="eastAsia" w:ascii="宋体" w:hAnsi="宋体" w:eastAsia="宋体" w:cs="宋体"/>
          <w:color w:val="auto"/>
          <w:highlight w:val="none"/>
          <w:lang w:val="en-US" w:eastAsia="zh-CN"/>
        </w:rPr>
        <w:t>中</w:t>
      </w:r>
      <w:r>
        <w:rPr>
          <w:rFonts w:hint="eastAsia" w:ascii="宋体" w:hAnsi="宋体" w:eastAsia="宋体" w:cs="宋体"/>
          <w:color w:val="auto"/>
          <w:highlight w:val="none"/>
        </w:rPr>
        <w:t>小企业、签订分包意向协议的</w:t>
      </w:r>
      <w:r>
        <w:rPr>
          <w:rFonts w:hint="eastAsia" w:ascii="宋体" w:hAnsi="宋体" w:eastAsia="宋体" w:cs="宋体"/>
          <w:color w:val="auto"/>
          <w:highlight w:val="none"/>
          <w:lang w:val="en-US" w:eastAsia="zh-CN"/>
        </w:rPr>
        <w:t>中</w:t>
      </w:r>
      <w:r>
        <w:rPr>
          <w:rFonts w:hint="eastAsia" w:ascii="宋体" w:hAnsi="宋体" w:eastAsia="宋体" w:cs="宋体"/>
          <w:color w:val="auto"/>
          <w:highlight w:val="none"/>
        </w:rPr>
        <w:t>小微企业）的具体情况如下：</w:t>
      </w:r>
    </w:p>
    <w:p w14:paraId="6D6167AF">
      <w:pPr>
        <w:pStyle w:val="13"/>
        <w:spacing w:beforeAutospacing="0" w:afterAutospacing="0" w:line="0" w:lineRule="atLeast"/>
        <w:ind w:firstLine="360"/>
        <w:jc w:val="both"/>
        <w:rPr>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u w:val="single"/>
        </w:rPr>
        <w:t>（标的名称）</w:t>
      </w:r>
      <w:r>
        <w:rPr>
          <w:rFonts w:hint="eastAsia" w:ascii="宋体" w:hAnsi="宋体" w:eastAsia="宋体" w:cs="宋体"/>
          <w:i/>
          <w:color w:val="auto"/>
          <w:highlight w:val="none"/>
        </w:rPr>
        <w:t>，</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行业；承接企业为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w:t>
      </w:r>
      <w:r>
        <w:rPr>
          <w:rFonts w:hint="eastAsia" w:ascii="宋体" w:hAnsi="宋体" w:eastAsia="宋体" w:cs="宋体"/>
          <w:color w:val="auto"/>
          <w:highlight w:val="none"/>
          <w:vertAlign w:val="superscript"/>
        </w:rPr>
        <w:t>1</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val="en-US" w:eastAsia="zh-CN"/>
        </w:rPr>
        <w:t>中</w:t>
      </w:r>
      <w:r>
        <w:rPr>
          <w:rFonts w:hint="eastAsia" w:ascii="宋体" w:hAnsi="宋体" w:eastAsia="宋体" w:cs="宋体"/>
          <w:color w:val="auto"/>
          <w:highlight w:val="none"/>
          <w:u w:val="single"/>
        </w:rPr>
        <w:t>型企业</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u w:val="single"/>
        </w:rPr>
        <w:t>小型企业、微型企业）；</w:t>
      </w:r>
    </w:p>
    <w:p w14:paraId="159C45E7">
      <w:pPr>
        <w:pStyle w:val="13"/>
        <w:spacing w:beforeAutospacing="0" w:afterAutospacing="0" w:line="0" w:lineRule="atLeast"/>
        <w:ind w:firstLine="360"/>
        <w:jc w:val="both"/>
        <w:rPr>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u w:val="single"/>
        </w:rPr>
        <w:t>（标的名称）</w:t>
      </w:r>
      <w:r>
        <w:rPr>
          <w:rFonts w:hint="eastAsia" w:ascii="宋体" w:hAnsi="宋体" w:eastAsia="宋体" w:cs="宋体"/>
          <w:i/>
          <w:color w:val="auto"/>
          <w:highlight w:val="none"/>
        </w:rPr>
        <w:t>，</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行业；承接企业为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w:t>
      </w:r>
      <w:r>
        <w:rPr>
          <w:rFonts w:hint="eastAsia" w:ascii="宋体" w:hAnsi="宋体" w:eastAsia="宋体" w:cs="宋体"/>
          <w:color w:val="auto"/>
          <w:highlight w:val="none"/>
          <w:vertAlign w:val="superscript"/>
        </w:rPr>
        <w:t>1</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val="en-US" w:eastAsia="zh-CN"/>
        </w:rPr>
        <w:t>中</w:t>
      </w:r>
      <w:r>
        <w:rPr>
          <w:rFonts w:hint="eastAsia" w:ascii="宋体" w:hAnsi="宋体" w:eastAsia="宋体" w:cs="宋体"/>
          <w:color w:val="auto"/>
          <w:highlight w:val="none"/>
          <w:u w:val="single"/>
        </w:rPr>
        <w:t>型企业</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u w:val="single"/>
        </w:rPr>
        <w:t>小型企业、微型企业）；</w:t>
      </w:r>
    </w:p>
    <w:p w14:paraId="2830D4B3">
      <w:pPr>
        <w:pStyle w:val="13"/>
        <w:spacing w:beforeAutospacing="0" w:afterAutospacing="0" w:line="0" w:lineRule="atLeast"/>
        <w:ind w:firstLine="360"/>
        <w:jc w:val="both"/>
        <w:rPr>
          <w:color w:val="auto"/>
          <w:highlight w:val="none"/>
        </w:rPr>
      </w:pPr>
      <w:r>
        <w:rPr>
          <w:rFonts w:hint="eastAsia" w:ascii="宋体" w:hAnsi="宋体" w:eastAsia="宋体" w:cs="宋体"/>
          <w:color w:val="auto"/>
          <w:highlight w:val="none"/>
        </w:rPr>
        <w:t>……</w:t>
      </w:r>
    </w:p>
    <w:p w14:paraId="5C4CB715">
      <w:pPr>
        <w:pStyle w:val="13"/>
        <w:spacing w:beforeAutospacing="0" w:afterAutospacing="0" w:line="0" w:lineRule="atLeast"/>
        <w:ind w:firstLine="360"/>
        <w:jc w:val="both"/>
        <w:rPr>
          <w:color w:val="auto"/>
          <w:highlight w:val="none"/>
        </w:rPr>
      </w:pPr>
      <w:r>
        <w:rPr>
          <w:rFonts w:hint="eastAsia" w:ascii="宋体" w:hAnsi="宋体" w:eastAsia="宋体" w:cs="宋体"/>
          <w:color w:val="auto"/>
          <w:highlight w:val="none"/>
        </w:rPr>
        <w:t>以上企业，不属于大企业的分支机构，不存在控股股东为大企业的情形，也不存在与大企业的负责人为同一人的情形。</w:t>
      </w:r>
    </w:p>
    <w:p w14:paraId="7EC51861">
      <w:pPr>
        <w:pStyle w:val="13"/>
        <w:spacing w:beforeAutospacing="0" w:afterAutospacing="0" w:line="0" w:lineRule="atLeast"/>
        <w:ind w:firstLine="360"/>
        <w:jc w:val="both"/>
        <w:rPr>
          <w:color w:val="auto"/>
          <w:highlight w:val="none"/>
        </w:rPr>
      </w:pPr>
      <w:r>
        <w:rPr>
          <w:rFonts w:hint="eastAsia" w:ascii="宋体" w:hAnsi="宋体" w:eastAsia="宋体" w:cs="宋体"/>
          <w:color w:val="auto"/>
          <w:highlight w:val="none"/>
        </w:rPr>
        <w:t>本企业对上述声明内容的真实性负责。如有虚假，将依法承担相应责任</w:t>
      </w:r>
    </w:p>
    <w:p w14:paraId="53229AE0">
      <w:pPr>
        <w:pStyle w:val="13"/>
        <w:spacing w:beforeAutospacing="0" w:afterAutospacing="0" w:line="0" w:lineRule="atLeast"/>
        <w:ind w:right="720"/>
        <w:jc w:val="both"/>
        <w:rPr>
          <w:color w:val="auto"/>
          <w:highlight w:val="none"/>
        </w:rPr>
      </w:pPr>
      <w:r>
        <w:rPr>
          <w:color w:val="auto"/>
          <w:highlight w:val="none"/>
        </w:rPr>
        <w:t> </w:t>
      </w:r>
    </w:p>
    <w:p w14:paraId="13F78299">
      <w:pPr>
        <w:pStyle w:val="13"/>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6485535E">
      <w:pPr>
        <w:pStyle w:val="13"/>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792F5903">
      <w:pPr>
        <w:pStyle w:val="13"/>
        <w:spacing w:beforeAutospacing="0" w:afterAutospacing="0" w:line="0" w:lineRule="atLeast"/>
        <w:ind w:firstLine="240"/>
        <w:jc w:val="both"/>
        <w:rPr>
          <w:color w:val="auto"/>
          <w:highlight w:val="none"/>
        </w:rPr>
      </w:pPr>
      <w:r>
        <w:rPr>
          <w:color w:val="auto"/>
          <w:highlight w:val="none"/>
        </w:rPr>
        <w:t> </w:t>
      </w:r>
    </w:p>
    <w:p w14:paraId="7BD840F2">
      <w:pPr>
        <w:pStyle w:val="13"/>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3CBFFE2B">
      <w:pPr>
        <w:pStyle w:val="13"/>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备注2：供应商如不提供此声明函，价格将不做相应扣除（如项目全面面向中小企业，则资格审查不通过）。</w:t>
      </w:r>
    </w:p>
    <w:p w14:paraId="2F7049BF">
      <w:pPr>
        <w:pStyle w:val="13"/>
        <w:spacing w:beforeAutospacing="0" w:afterAutospacing="0" w:line="0" w:lineRule="atLeast"/>
        <w:jc w:val="center"/>
        <w:rPr>
          <w:color w:val="auto"/>
          <w:highlight w:val="none"/>
        </w:rPr>
      </w:pPr>
      <w:r>
        <w:rPr>
          <w:rFonts w:hint="eastAsia" w:ascii="宋体" w:hAnsi="宋体" w:eastAsia="宋体" w:cs="宋体"/>
          <w:color w:val="auto"/>
          <w:highlight w:val="none"/>
        </w:rPr>
        <w:br w:type="page"/>
      </w:r>
      <w:r>
        <w:rPr>
          <w:rFonts w:hint="eastAsia" w:ascii="黑体" w:hAnsi="宋体" w:eastAsia="黑体" w:cs="黑体"/>
          <w:b/>
          <w:color w:val="auto"/>
          <w:sz w:val="32"/>
          <w:szCs w:val="32"/>
          <w:highlight w:val="none"/>
        </w:rPr>
        <w:t>十、残疾人福利性单位声明函</w:t>
      </w:r>
    </w:p>
    <w:p w14:paraId="41670CC8">
      <w:pPr>
        <w:pStyle w:val="13"/>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项目（分包号：**）采购活动由本单位提供服务。</w:t>
      </w:r>
    </w:p>
    <w:p w14:paraId="71A5D92F">
      <w:pPr>
        <w:pStyle w:val="13"/>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本单位对上述声明的真实性负责。如有虚假，将依法承担相应责任。</w:t>
      </w:r>
    </w:p>
    <w:p w14:paraId="05B6D7F5">
      <w:pPr>
        <w:pStyle w:val="13"/>
        <w:spacing w:beforeAutospacing="0" w:afterAutospacing="0" w:line="0" w:lineRule="atLeast"/>
        <w:ind w:firstLine="480"/>
        <w:jc w:val="both"/>
        <w:rPr>
          <w:color w:val="auto"/>
          <w:highlight w:val="none"/>
        </w:rPr>
      </w:pPr>
      <w:r>
        <w:rPr>
          <w:color w:val="auto"/>
          <w:highlight w:val="none"/>
        </w:rPr>
        <w:t> </w:t>
      </w:r>
    </w:p>
    <w:p w14:paraId="5CAE76AA">
      <w:pPr>
        <w:pStyle w:val="13"/>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（备注：1、供应商如不提供此声明函，价格将不做相应扣除（如项目全面面向中小企业，则资格审查不通过）。2、中标人为残疾人福利单位的，此声明函将随中标结果同时公告，接受社会监督）</w:t>
      </w:r>
    </w:p>
    <w:p w14:paraId="368DEBBD">
      <w:pPr>
        <w:pStyle w:val="13"/>
        <w:spacing w:beforeAutospacing="0" w:afterAutospacing="0" w:line="0" w:lineRule="atLeast"/>
        <w:ind w:firstLine="624"/>
        <w:jc w:val="both"/>
        <w:rPr>
          <w:color w:val="auto"/>
          <w:highlight w:val="none"/>
        </w:rPr>
      </w:pPr>
      <w:r>
        <w:rPr>
          <w:color w:val="auto"/>
          <w:highlight w:val="none"/>
        </w:rPr>
        <w:t> </w:t>
      </w:r>
    </w:p>
    <w:p w14:paraId="3E09C217">
      <w:pPr>
        <w:pStyle w:val="13"/>
        <w:tabs>
          <w:tab w:val="left" w:pos="4864"/>
        </w:tabs>
        <w:spacing w:beforeAutospacing="0" w:afterAutospacing="0" w:line="0" w:lineRule="atLeast"/>
        <w:ind w:right="1560" w:firstLine="624"/>
        <w:jc w:val="center"/>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供应商全称（加盖CA电子公章）：</w:t>
      </w:r>
    </w:p>
    <w:p w14:paraId="2232185B">
      <w:pPr>
        <w:pStyle w:val="13"/>
        <w:tabs>
          <w:tab w:val="left" w:pos="4864"/>
        </w:tabs>
        <w:spacing w:beforeAutospacing="0" w:afterAutospacing="0" w:line="0" w:lineRule="atLeast"/>
        <w:ind w:right="1560" w:firstLine="480"/>
        <w:jc w:val="center"/>
        <w:rPr>
          <w:color w:val="auto"/>
          <w:highlight w:val="none"/>
        </w:rPr>
      </w:pPr>
      <w:r>
        <w:rPr>
          <w:rFonts w:hint="eastAsia" w:ascii="宋体" w:hAnsi="宋体" w:eastAsia="宋体" w:cs="宋体"/>
          <w:color w:val="auto"/>
          <w:highlight w:val="none"/>
        </w:rPr>
        <w:t>        日  期：</w:t>
      </w:r>
    </w:p>
    <w:p w14:paraId="5B86FBAF">
      <w:pPr>
        <w:pStyle w:val="13"/>
        <w:spacing w:beforeAutospacing="0" w:afterAutospacing="0" w:line="0" w:lineRule="atLeast"/>
        <w:jc w:val="center"/>
        <w:rPr>
          <w:color w:val="auto"/>
          <w:highlight w:val="none"/>
        </w:rPr>
      </w:pPr>
      <w:r>
        <w:rPr>
          <w:color w:val="auto"/>
          <w:highlight w:val="none"/>
        </w:rPr>
        <w:t> </w:t>
      </w:r>
    </w:p>
    <w:p w14:paraId="452EA9AF">
      <w:pPr>
        <w:pStyle w:val="13"/>
        <w:spacing w:beforeAutospacing="0" w:afterAutospacing="0" w:line="0" w:lineRule="atLeast"/>
        <w:jc w:val="center"/>
        <w:rPr>
          <w:color w:val="auto"/>
          <w:highlight w:val="none"/>
        </w:rPr>
      </w:pPr>
      <w:r>
        <w:rPr>
          <w:color w:val="auto"/>
          <w:highlight w:val="none"/>
        </w:rPr>
        <w:t> </w:t>
      </w:r>
    </w:p>
    <w:p w14:paraId="56AE0964">
      <w:pPr>
        <w:pStyle w:val="13"/>
        <w:spacing w:beforeAutospacing="0" w:afterAutospacing="0" w:line="0" w:lineRule="atLeast"/>
        <w:jc w:val="center"/>
        <w:rPr>
          <w:color w:val="auto"/>
          <w:highlight w:val="none"/>
        </w:rPr>
      </w:pPr>
      <w:r>
        <w:rPr>
          <w:color w:val="auto"/>
          <w:highlight w:val="none"/>
        </w:rPr>
        <w:t> </w:t>
      </w:r>
    </w:p>
    <w:p w14:paraId="0B2167EA">
      <w:pPr>
        <w:pStyle w:val="13"/>
        <w:spacing w:beforeAutospacing="0" w:afterAutospacing="0" w:line="0" w:lineRule="atLeast"/>
        <w:jc w:val="center"/>
        <w:rPr>
          <w:color w:val="auto"/>
          <w:highlight w:val="none"/>
        </w:rPr>
      </w:pPr>
      <w:r>
        <w:rPr>
          <w:color w:val="auto"/>
          <w:highlight w:val="none"/>
        </w:rPr>
        <w:t> </w:t>
      </w:r>
    </w:p>
    <w:p w14:paraId="6DA06ED6">
      <w:pPr>
        <w:pStyle w:val="13"/>
        <w:spacing w:beforeAutospacing="0" w:afterAutospacing="0" w:line="0" w:lineRule="atLeast"/>
        <w:jc w:val="center"/>
        <w:rPr>
          <w:color w:val="auto"/>
          <w:highlight w:val="none"/>
        </w:rPr>
      </w:pPr>
      <w:r>
        <w:rPr>
          <w:color w:val="auto"/>
          <w:highlight w:val="none"/>
        </w:rPr>
        <w:t> </w:t>
      </w:r>
    </w:p>
    <w:p w14:paraId="7F892D0A">
      <w:pPr>
        <w:pStyle w:val="13"/>
        <w:spacing w:beforeAutospacing="0" w:afterAutospacing="0" w:line="0" w:lineRule="atLeast"/>
        <w:jc w:val="center"/>
        <w:rPr>
          <w:color w:val="auto"/>
          <w:highlight w:val="none"/>
        </w:rPr>
      </w:pPr>
      <w:r>
        <w:rPr>
          <w:color w:val="auto"/>
          <w:highlight w:val="none"/>
        </w:rPr>
        <w:t> </w:t>
      </w:r>
    </w:p>
    <w:p w14:paraId="548908C5">
      <w:pPr>
        <w:pStyle w:val="13"/>
        <w:spacing w:beforeAutospacing="0" w:afterAutospacing="0" w:line="0" w:lineRule="atLeast"/>
        <w:jc w:val="center"/>
        <w:rPr>
          <w:color w:val="auto"/>
          <w:highlight w:val="none"/>
        </w:rPr>
      </w:pPr>
      <w:r>
        <w:rPr>
          <w:color w:val="auto"/>
          <w:highlight w:val="none"/>
        </w:rPr>
        <w:t> </w:t>
      </w:r>
    </w:p>
    <w:p w14:paraId="48E0EC94">
      <w:pPr>
        <w:pStyle w:val="13"/>
        <w:spacing w:beforeAutospacing="0" w:afterAutospacing="0" w:line="0" w:lineRule="atLeast"/>
        <w:jc w:val="center"/>
        <w:rPr>
          <w:color w:val="auto"/>
          <w:highlight w:val="none"/>
        </w:rPr>
      </w:pPr>
      <w:r>
        <w:rPr>
          <w:color w:val="auto"/>
          <w:highlight w:val="none"/>
        </w:rPr>
        <w:t> </w:t>
      </w:r>
    </w:p>
    <w:p w14:paraId="6F8F519E">
      <w:pPr>
        <w:pStyle w:val="13"/>
        <w:spacing w:beforeAutospacing="0" w:afterAutospacing="0" w:line="0" w:lineRule="atLeast"/>
        <w:jc w:val="center"/>
        <w:rPr>
          <w:color w:val="auto"/>
          <w:highlight w:val="none"/>
        </w:rPr>
      </w:pPr>
    </w:p>
    <w:p w14:paraId="2BAE9F23">
      <w:pPr>
        <w:pStyle w:val="13"/>
        <w:spacing w:beforeAutospacing="0" w:afterAutospacing="0" w:line="0" w:lineRule="atLeast"/>
        <w:jc w:val="center"/>
        <w:rPr>
          <w:color w:val="auto"/>
          <w:highlight w:val="none"/>
        </w:rPr>
      </w:pPr>
    </w:p>
    <w:p w14:paraId="51D75F66">
      <w:pPr>
        <w:pStyle w:val="13"/>
        <w:spacing w:beforeAutospacing="0" w:afterAutospacing="0" w:line="0" w:lineRule="atLeast"/>
        <w:jc w:val="center"/>
        <w:rPr>
          <w:color w:val="auto"/>
          <w:highlight w:val="none"/>
        </w:rPr>
      </w:pPr>
    </w:p>
    <w:p w14:paraId="40F6A71A">
      <w:pPr>
        <w:pStyle w:val="13"/>
        <w:spacing w:beforeAutospacing="0" w:afterAutospacing="0" w:line="0" w:lineRule="atLeast"/>
        <w:jc w:val="center"/>
        <w:rPr>
          <w:color w:val="auto"/>
          <w:highlight w:val="none"/>
        </w:rPr>
      </w:pPr>
    </w:p>
    <w:p w14:paraId="494A6B4E">
      <w:pPr>
        <w:pStyle w:val="13"/>
        <w:spacing w:beforeAutospacing="0" w:afterAutospacing="0" w:line="0" w:lineRule="atLeast"/>
        <w:jc w:val="center"/>
        <w:rPr>
          <w:color w:val="auto"/>
          <w:highlight w:val="none"/>
        </w:rPr>
      </w:pPr>
    </w:p>
    <w:p w14:paraId="54820F39">
      <w:pPr>
        <w:pStyle w:val="13"/>
        <w:spacing w:beforeAutospacing="0" w:afterAutospacing="0" w:line="0" w:lineRule="atLeast"/>
        <w:jc w:val="center"/>
        <w:rPr>
          <w:color w:val="auto"/>
          <w:highlight w:val="none"/>
        </w:rPr>
      </w:pPr>
    </w:p>
    <w:p w14:paraId="7A37864E">
      <w:pPr>
        <w:pStyle w:val="13"/>
        <w:spacing w:beforeAutospacing="0" w:afterAutospacing="0" w:line="0" w:lineRule="atLeast"/>
        <w:jc w:val="center"/>
        <w:rPr>
          <w:color w:val="auto"/>
          <w:highlight w:val="none"/>
        </w:rPr>
      </w:pPr>
    </w:p>
    <w:p w14:paraId="4B8AE178">
      <w:pPr>
        <w:pStyle w:val="13"/>
        <w:spacing w:beforeAutospacing="0" w:afterAutospacing="0" w:line="0" w:lineRule="atLeast"/>
        <w:jc w:val="center"/>
        <w:rPr>
          <w:color w:val="auto"/>
          <w:highlight w:val="none"/>
        </w:rPr>
      </w:pPr>
    </w:p>
    <w:p w14:paraId="745070DF">
      <w:pPr>
        <w:pStyle w:val="13"/>
        <w:spacing w:beforeAutospacing="0" w:afterAutospacing="0" w:line="0" w:lineRule="atLeast"/>
        <w:jc w:val="center"/>
        <w:rPr>
          <w:color w:val="auto"/>
          <w:highlight w:val="none"/>
        </w:rPr>
      </w:pPr>
    </w:p>
    <w:p w14:paraId="3CEB066A">
      <w:pPr>
        <w:pStyle w:val="13"/>
        <w:spacing w:beforeAutospacing="0" w:afterAutospacing="0" w:line="0" w:lineRule="atLeast"/>
        <w:jc w:val="center"/>
        <w:rPr>
          <w:color w:val="auto"/>
          <w:highlight w:val="none"/>
        </w:rPr>
      </w:pPr>
    </w:p>
    <w:p w14:paraId="298BC17A">
      <w:pPr>
        <w:pStyle w:val="13"/>
        <w:spacing w:beforeAutospacing="0" w:afterAutospacing="0" w:line="0" w:lineRule="atLeast"/>
        <w:jc w:val="center"/>
        <w:rPr>
          <w:color w:val="auto"/>
          <w:highlight w:val="none"/>
        </w:rPr>
      </w:pPr>
    </w:p>
    <w:p w14:paraId="1BCB410C">
      <w:pPr>
        <w:pStyle w:val="13"/>
        <w:spacing w:beforeAutospacing="0" w:afterAutospacing="0" w:line="0" w:lineRule="atLeast"/>
        <w:jc w:val="center"/>
        <w:rPr>
          <w:color w:val="auto"/>
          <w:highlight w:val="none"/>
        </w:rPr>
      </w:pPr>
    </w:p>
    <w:p w14:paraId="230EDB1C">
      <w:pPr>
        <w:pStyle w:val="13"/>
        <w:spacing w:beforeAutospacing="0" w:afterAutospacing="0" w:line="0" w:lineRule="atLeast"/>
        <w:jc w:val="center"/>
        <w:rPr>
          <w:color w:val="auto"/>
          <w:highlight w:val="none"/>
        </w:rPr>
      </w:pPr>
    </w:p>
    <w:p w14:paraId="5148D040">
      <w:pPr>
        <w:pStyle w:val="13"/>
        <w:spacing w:beforeAutospacing="0" w:afterAutospacing="0" w:line="0" w:lineRule="atLeast"/>
        <w:jc w:val="center"/>
        <w:rPr>
          <w:color w:val="auto"/>
          <w:highlight w:val="none"/>
        </w:rPr>
      </w:pPr>
    </w:p>
    <w:p w14:paraId="46FC1044">
      <w:pPr>
        <w:pStyle w:val="13"/>
        <w:spacing w:beforeAutospacing="0" w:afterAutospacing="0" w:line="0" w:lineRule="atLeast"/>
        <w:jc w:val="center"/>
        <w:rPr>
          <w:color w:val="auto"/>
          <w:highlight w:val="none"/>
        </w:rPr>
      </w:pPr>
    </w:p>
    <w:p w14:paraId="52AC1B97">
      <w:pPr>
        <w:pStyle w:val="13"/>
        <w:spacing w:beforeAutospacing="0" w:afterAutospacing="0" w:line="0" w:lineRule="atLeast"/>
        <w:jc w:val="center"/>
        <w:rPr>
          <w:color w:val="auto"/>
          <w:highlight w:val="none"/>
        </w:rPr>
      </w:pPr>
    </w:p>
    <w:p w14:paraId="6356BD08">
      <w:pPr>
        <w:pStyle w:val="13"/>
        <w:spacing w:beforeAutospacing="0" w:afterAutospacing="0" w:line="0" w:lineRule="atLeast"/>
        <w:jc w:val="center"/>
        <w:rPr>
          <w:color w:val="auto"/>
          <w:highlight w:val="none"/>
        </w:rPr>
      </w:pPr>
    </w:p>
    <w:p w14:paraId="6ADBAE94">
      <w:pPr>
        <w:pStyle w:val="13"/>
        <w:spacing w:beforeAutospacing="0" w:afterAutospacing="0" w:line="0" w:lineRule="atLeast"/>
        <w:jc w:val="center"/>
        <w:rPr>
          <w:color w:val="auto"/>
          <w:highlight w:val="none"/>
        </w:rPr>
      </w:pPr>
    </w:p>
    <w:p w14:paraId="4EC8A094">
      <w:pPr>
        <w:pStyle w:val="13"/>
        <w:spacing w:beforeAutospacing="0" w:afterAutospacing="0" w:line="0" w:lineRule="atLeast"/>
        <w:jc w:val="center"/>
        <w:rPr>
          <w:color w:val="auto"/>
          <w:highlight w:val="none"/>
        </w:rPr>
      </w:pPr>
    </w:p>
    <w:p w14:paraId="72576FEF">
      <w:pPr>
        <w:pStyle w:val="13"/>
        <w:spacing w:beforeAutospacing="0" w:afterAutospacing="0" w:line="0" w:lineRule="atLeast"/>
        <w:jc w:val="center"/>
        <w:rPr>
          <w:color w:val="auto"/>
          <w:highlight w:val="none"/>
        </w:rPr>
      </w:pPr>
    </w:p>
    <w:p w14:paraId="47410ADA">
      <w:pPr>
        <w:pStyle w:val="13"/>
        <w:spacing w:beforeAutospacing="0" w:afterAutospacing="0" w:line="0" w:lineRule="atLeast"/>
        <w:jc w:val="center"/>
        <w:rPr>
          <w:color w:val="auto"/>
          <w:highlight w:val="none"/>
        </w:rPr>
      </w:pPr>
      <w:r>
        <w:rPr>
          <w:color w:val="auto"/>
          <w:highlight w:val="none"/>
        </w:rPr>
        <w:t> </w:t>
      </w:r>
    </w:p>
    <w:p w14:paraId="5AF453C3">
      <w:pPr>
        <w:pStyle w:val="13"/>
        <w:spacing w:beforeAutospacing="0" w:afterAutospacing="0" w:line="0" w:lineRule="atLeast"/>
        <w:jc w:val="center"/>
        <w:rPr>
          <w:color w:val="auto"/>
          <w:highlight w:val="none"/>
        </w:rPr>
      </w:pPr>
      <w:r>
        <w:rPr>
          <w:color w:val="auto"/>
          <w:highlight w:val="none"/>
        </w:rPr>
        <w:t> </w:t>
      </w:r>
    </w:p>
    <w:p w14:paraId="33610243">
      <w:pPr>
        <w:pStyle w:val="13"/>
        <w:spacing w:beforeAutospacing="0" w:afterAutospacing="0" w:line="0" w:lineRule="atLeast"/>
        <w:jc w:val="center"/>
        <w:rPr>
          <w:color w:val="auto"/>
          <w:highlight w:val="none"/>
        </w:rPr>
      </w:pPr>
      <w:r>
        <w:rPr>
          <w:color w:val="auto"/>
          <w:highlight w:val="none"/>
        </w:rPr>
        <w:t> </w:t>
      </w:r>
    </w:p>
    <w:p w14:paraId="6A1F262A">
      <w:pPr>
        <w:pStyle w:val="13"/>
        <w:spacing w:beforeAutospacing="0" w:afterAutospacing="0" w:line="0" w:lineRule="atLeast"/>
        <w:jc w:val="center"/>
        <w:rPr>
          <w:color w:val="auto"/>
          <w:highlight w:val="none"/>
        </w:rPr>
      </w:pPr>
      <w:r>
        <w:rPr>
          <w:color w:val="auto"/>
          <w:highlight w:val="none"/>
        </w:rPr>
        <w:t> </w:t>
      </w:r>
    </w:p>
    <w:p w14:paraId="73639499">
      <w:pPr>
        <w:pStyle w:val="20"/>
        <w:numPr>
          <w:ilvl w:val="0"/>
          <w:numId w:val="0"/>
        </w:numPr>
        <w:spacing w:line="360" w:lineRule="auto"/>
        <w:jc w:val="center"/>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rPr>
        <w:t>十一</w:t>
      </w:r>
      <w:r>
        <w:rPr>
          <w:rFonts w:hint="eastAsia" w:ascii="黑体" w:hAnsi="宋体" w:eastAsia="黑体" w:cs="黑体"/>
          <w:b/>
          <w:color w:val="auto"/>
          <w:kern w:val="2"/>
          <w:sz w:val="32"/>
          <w:szCs w:val="32"/>
          <w:highlight w:val="none"/>
          <w:lang w:val="en-US" w:eastAsia="zh-CN" w:bidi="ar-SA"/>
        </w:rPr>
        <w:t>、</w:t>
      </w:r>
      <w:r>
        <w:rPr>
          <w:rFonts w:hint="eastAsia" w:ascii="黑体" w:hAnsi="宋体" w:eastAsia="黑体" w:cs="黑体"/>
          <w:b/>
          <w:color w:val="auto"/>
          <w:sz w:val="32"/>
          <w:szCs w:val="32"/>
          <w:highlight w:val="none"/>
        </w:rPr>
        <w:t>投标分项报价表</w:t>
      </w:r>
    </w:p>
    <w:p w14:paraId="76819BD7">
      <w:pPr>
        <w:pStyle w:val="20"/>
        <w:spacing w:line="360" w:lineRule="auto"/>
        <w:rPr>
          <w:rFonts w:hint="eastAsia" w:ascii="Times New Roman" w:hAnsi="宋体" w:eastAsia="宋体"/>
          <w:color w:val="auto"/>
          <w:sz w:val="21"/>
          <w:highlight w:val="none"/>
        </w:rPr>
      </w:pPr>
      <w:r>
        <w:rPr>
          <w:rFonts w:hint="eastAsia" w:ascii="Times New Roman" w:hAnsi="宋体" w:eastAsia="宋体"/>
          <w:color w:val="auto"/>
          <w:sz w:val="21"/>
          <w:highlight w:val="none"/>
        </w:rPr>
        <w:t>项目名称：</w:t>
      </w:r>
    </w:p>
    <w:p w14:paraId="7DAAFDE6">
      <w:pPr>
        <w:pStyle w:val="20"/>
        <w:spacing w:line="360" w:lineRule="auto"/>
        <w:rPr>
          <w:rFonts w:hint="eastAsia" w:hAnsi="宋体" w:eastAsia="宋体"/>
          <w:color w:val="auto"/>
          <w:sz w:val="21"/>
          <w:highlight w:val="none"/>
        </w:rPr>
      </w:pPr>
      <w:r>
        <w:rPr>
          <w:rFonts w:hint="eastAsia" w:hAnsi="宋体" w:eastAsia="宋体"/>
          <w:color w:val="auto"/>
          <w:sz w:val="21"/>
          <w:highlight w:val="none"/>
        </w:rPr>
        <w:t>投标人名称（公章）：</w:t>
      </w:r>
    </w:p>
    <w:tbl>
      <w:tblPr>
        <w:tblStyle w:val="16"/>
        <w:tblW w:w="541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8"/>
        <w:gridCol w:w="1512"/>
        <w:gridCol w:w="842"/>
        <w:gridCol w:w="665"/>
        <w:gridCol w:w="1067"/>
        <w:gridCol w:w="1211"/>
        <w:gridCol w:w="3133"/>
      </w:tblGrid>
      <w:tr w14:paraId="6144B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433" w:type="pct"/>
            <w:vAlign w:val="center"/>
          </w:tcPr>
          <w:p w14:paraId="70D2D98F">
            <w:pPr>
              <w:widowControl/>
              <w:spacing w:line="360" w:lineRule="auto"/>
              <w:jc w:val="center"/>
              <w:rPr>
                <w:rFonts w:ascii="宋体" w:hAnsi="宋体"/>
                <w:color w:val="auto"/>
                <w:kern w:val="0"/>
                <w:highlight w:val="none"/>
              </w:rPr>
            </w:pPr>
            <w:r>
              <w:rPr>
                <w:rFonts w:hint="eastAsia" w:ascii="宋体" w:hAnsi="宋体"/>
                <w:color w:val="auto"/>
                <w:kern w:val="0"/>
                <w:highlight w:val="none"/>
              </w:rPr>
              <w:t>序号</w:t>
            </w:r>
          </w:p>
        </w:tc>
        <w:tc>
          <w:tcPr>
            <w:tcW w:w="819" w:type="pct"/>
            <w:vAlign w:val="center"/>
          </w:tcPr>
          <w:p w14:paraId="7A6EACDC">
            <w:pPr>
              <w:widowControl/>
              <w:spacing w:line="360" w:lineRule="auto"/>
              <w:jc w:val="center"/>
              <w:rPr>
                <w:rFonts w:ascii="宋体" w:hAnsi="宋体"/>
                <w:color w:val="auto"/>
                <w:kern w:val="0"/>
                <w:highlight w:val="none"/>
              </w:rPr>
            </w:pPr>
            <w:r>
              <w:rPr>
                <w:rFonts w:hint="eastAsia" w:ascii="宋体" w:hAnsi="宋体"/>
                <w:color w:val="auto"/>
                <w:kern w:val="0"/>
                <w:highlight w:val="none"/>
              </w:rPr>
              <w:t>标的物名称</w:t>
            </w:r>
          </w:p>
        </w:tc>
        <w:tc>
          <w:tcPr>
            <w:tcW w:w="456" w:type="pct"/>
            <w:vAlign w:val="center"/>
          </w:tcPr>
          <w:p w14:paraId="24BCB761">
            <w:pPr>
              <w:widowControl/>
              <w:spacing w:line="360" w:lineRule="auto"/>
              <w:jc w:val="center"/>
              <w:rPr>
                <w:rFonts w:ascii="宋体" w:hAnsi="宋体"/>
                <w:color w:val="auto"/>
                <w:kern w:val="0"/>
                <w:highlight w:val="none"/>
              </w:rPr>
            </w:pPr>
            <w:r>
              <w:rPr>
                <w:rFonts w:hint="eastAsia" w:ascii="宋体" w:hAnsi="宋体"/>
                <w:color w:val="auto"/>
                <w:kern w:val="0"/>
                <w:highlight w:val="none"/>
              </w:rPr>
              <w:t>单位</w:t>
            </w:r>
          </w:p>
        </w:tc>
        <w:tc>
          <w:tcPr>
            <w:tcW w:w="360" w:type="pct"/>
            <w:vAlign w:val="center"/>
          </w:tcPr>
          <w:p w14:paraId="0F87B34A">
            <w:pPr>
              <w:widowControl/>
              <w:spacing w:line="360" w:lineRule="auto"/>
              <w:jc w:val="center"/>
              <w:rPr>
                <w:rFonts w:ascii="宋体" w:hAnsi="宋体"/>
                <w:color w:val="auto"/>
                <w:kern w:val="0"/>
                <w:highlight w:val="none"/>
              </w:rPr>
            </w:pPr>
            <w:r>
              <w:rPr>
                <w:rFonts w:hint="eastAsia" w:ascii="宋体" w:hAnsi="宋体"/>
                <w:color w:val="auto"/>
                <w:kern w:val="0"/>
                <w:highlight w:val="none"/>
              </w:rPr>
              <w:t>数量</w:t>
            </w:r>
          </w:p>
        </w:tc>
        <w:tc>
          <w:tcPr>
            <w:tcW w:w="577" w:type="pct"/>
            <w:vAlign w:val="center"/>
          </w:tcPr>
          <w:p w14:paraId="645D26C9">
            <w:pPr>
              <w:widowControl/>
              <w:spacing w:line="360" w:lineRule="auto"/>
              <w:jc w:val="center"/>
              <w:rPr>
                <w:rFonts w:hint="eastAsia" w:ascii="宋体" w:hAnsi="宋体" w:eastAsiaTheme="minorEastAsia"/>
                <w:color w:val="auto"/>
                <w:kern w:val="0"/>
                <w:highlight w:val="none"/>
                <w:lang w:eastAsia="zh-CN"/>
              </w:rPr>
            </w:pPr>
            <w:r>
              <w:rPr>
                <w:rFonts w:hint="eastAsia" w:ascii="宋体" w:hAnsi="宋体"/>
                <w:color w:val="auto"/>
                <w:kern w:val="0"/>
                <w:highlight w:val="none"/>
              </w:rPr>
              <w:t>单价</w:t>
            </w:r>
            <w:r>
              <w:rPr>
                <w:rFonts w:hint="eastAsia" w:ascii="宋体" w:hAnsi="宋体"/>
                <w:color w:val="auto"/>
                <w:kern w:val="0"/>
                <w:highlight w:val="none"/>
                <w:lang w:eastAsia="zh-CN"/>
              </w:rPr>
              <w:t>（</w:t>
            </w:r>
            <w:r>
              <w:rPr>
                <w:rFonts w:hint="eastAsia" w:ascii="宋体" w:hAnsi="宋体"/>
                <w:color w:val="auto"/>
                <w:kern w:val="0"/>
                <w:highlight w:val="none"/>
                <w:lang w:val="en-US" w:eastAsia="zh-CN"/>
              </w:rPr>
              <w:t>元</w:t>
            </w:r>
            <w:r>
              <w:rPr>
                <w:rFonts w:hint="eastAsia" w:ascii="宋体" w:hAnsi="宋体"/>
                <w:color w:val="auto"/>
                <w:kern w:val="0"/>
                <w:highlight w:val="none"/>
                <w:lang w:eastAsia="zh-CN"/>
              </w:rPr>
              <w:t>）</w:t>
            </w:r>
          </w:p>
        </w:tc>
        <w:tc>
          <w:tcPr>
            <w:tcW w:w="656" w:type="pct"/>
            <w:vAlign w:val="center"/>
          </w:tcPr>
          <w:p w14:paraId="7F1B4C85">
            <w:pPr>
              <w:widowControl/>
              <w:spacing w:line="360" w:lineRule="auto"/>
              <w:jc w:val="center"/>
              <w:rPr>
                <w:rFonts w:ascii="宋体" w:hAnsi="宋体"/>
                <w:color w:val="auto"/>
                <w:kern w:val="0"/>
                <w:highlight w:val="none"/>
              </w:rPr>
            </w:pPr>
            <w:r>
              <w:rPr>
                <w:rFonts w:hint="eastAsia" w:ascii="宋体" w:hAnsi="宋体"/>
                <w:color w:val="auto"/>
                <w:kern w:val="0"/>
                <w:highlight w:val="none"/>
              </w:rPr>
              <w:t xml:space="preserve"> 总价</w:t>
            </w:r>
            <w:r>
              <w:rPr>
                <w:rFonts w:hint="eastAsia" w:ascii="宋体" w:hAnsi="宋体"/>
                <w:color w:val="auto"/>
                <w:kern w:val="0"/>
                <w:highlight w:val="none"/>
                <w:lang w:eastAsia="zh-CN"/>
              </w:rPr>
              <w:t>（</w:t>
            </w:r>
            <w:r>
              <w:rPr>
                <w:rFonts w:hint="eastAsia" w:ascii="宋体" w:hAnsi="宋体"/>
                <w:color w:val="auto"/>
                <w:kern w:val="0"/>
                <w:highlight w:val="none"/>
                <w:lang w:val="en-US" w:eastAsia="zh-CN"/>
              </w:rPr>
              <w:t>元</w:t>
            </w:r>
            <w:r>
              <w:rPr>
                <w:rFonts w:hint="eastAsia" w:ascii="宋体" w:hAnsi="宋体"/>
                <w:color w:val="auto"/>
                <w:kern w:val="0"/>
                <w:highlight w:val="none"/>
                <w:lang w:eastAsia="zh-CN"/>
              </w:rPr>
              <w:t>）</w:t>
            </w:r>
            <w:r>
              <w:rPr>
                <w:rFonts w:hint="eastAsia" w:ascii="宋体" w:hAnsi="宋体"/>
                <w:color w:val="auto"/>
                <w:kern w:val="0"/>
                <w:highlight w:val="none"/>
              </w:rPr>
              <w:t xml:space="preserve"> </w:t>
            </w:r>
          </w:p>
        </w:tc>
        <w:tc>
          <w:tcPr>
            <w:tcW w:w="1697" w:type="pct"/>
            <w:vAlign w:val="center"/>
          </w:tcPr>
          <w:p w14:paraId="215147F4">
            <w:pPr>
              <w:widowControl/>
              <w:spacing w:line="360" w:lineRule="auto"/>
              <w:jc w:val="center"/>
              <w:rPr>
                <w:rFonts w:hint="eastAsia" w:ascii="宋体" w:hAnsi="宋体" w:eastAsiaTheme="minorEastAsia"/>
                <w:color w:val="auto"/>
                <w:kern w:val="0"/>
                <w:highlight w:val="none"/>
                <w:lang w:val="en-US" w:eastAsia="zh-CN"/>
              </w:rPr>
            </w:pPr>
            <w:r>
              <w:rPr>
                <w:rFonts w:hint="eastAsia" w:ascii="宋体" w:hAnsi="宋体"/>
                <w:color w:val="auto"/>
                <w:kern w:val="0"/>
                <w:highlight w:val="none"/>
                <w:lang w:val="en-US" w:eastAsia="zh-CN"/>
              </w:rPr>
              <w:t>备注</w:t>
            </w:r>
          </w:p>
        </w:tc>
      </w:tr>
      <w:tr w14:paraId="50C67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433" w:type="pct"/>
            <w:vAlign w:val="center"/>
          </w:tcPr>
          <w:p w14:paraId="5EBEB46A">
            <w:pPr>
              <w:widowControl/>
              <w:spacing w:line="360" w:lineRule="auto"/>
              <w:jc w:val="center"/>
              <w:rPr>
                <w:rFonts w:ascii="宋体" w:hAnsi="宋体"/>
                <w:b/>
                <w:color w:val="auto"/>
                <w:kern w:val="0"/>
                <w:highlight w:val="none"/>
              </w:rPr>
            </w:pPr>
            <w:r>
              <w:rPr>
                <w:rFonts w:hint="eastAsia" w:ascii="宋体" w:hAnsi="宋体"/>
                <w:b/>
                <w:color w:val="auto"/>
                <w:kern w:val="0"/>
                <w:highlight w:val="none"/>
              </w:rPr>
              <w:t>1</w:t>
            </w:r>
          </w:p>
        </w:tc>
        <w:tc>
          <w:tcPr>
            <w:tcW w:w="819" w:type="pct"/>
            <w:vAlign w:val="center"/>
          </w:tcPr>
          <w:p w14:paraId="5EE30623">
            <w:pPr>
              <w:widowControl/>
              <w:spacing w:line="360" w:lineRule="auto"/>
              <w:jc w:val="center"/>
              <w:rPr>
                <w:rFonts w:hint="default" w:ascii="宋体" w:hAnsi="宋体" w:eastAsiaTheme="minorEastAsia"/>
                <w:b/>
                <w:color w:val="auto"/>
                <w:kern w:val="0"/>
                <w:highlight w:val="none"/>
                <w:lang w:val="en-US" w:eastAsia="zh-CN"/>
              </w:rPr>
            </w:pPr>
            <w:r>
              <w:rPr>
                <w:rFonts w:hint="eastAsia" w:ascii="宋体" w:hAnsi="宋体"/>
                <w:b/>
                <w:color w:val="auto"/>
                <w:kern w:val="0"/>
                <w:highlight w:val="none"/>
              </w:rPr>
              <w:t>人员工资、加班费、社保</w:t>
            </w:r>
            <w:r>
              <w:rPr>
                <w:rFonts w:hint="eastAsia" w:ascii="宋体" w:hAnsi="宋体"/>
                <w:b/>
                <w:color w:val="auto"/>
                <w:kern w:val="0"/>
                <w:highlight w:val="none"/>
                <w:lang w:eastAsia="zh-CN"/>
              </w:rPr>
              <w:t>、</w:t>
            </w:r>
            <w:r>
              <w:rPr>
                <w:rFonts w:hint="eastAsia" w:ascii="宋体" w:hAnsi="宋体"/>
                <w:b/>
                <w:color w:val="auto"/>
                <w:kern w:val="0"/>
                <w:highlight w:val="none"/>
                <w:lang w:val="en-US" w:eastAsia="zh-CN"/>
              </w:rPr>
              <w:t>公积金</w:t>
            </w:r>
          </w:p>
        </w:tc>
        <w:tc>
          <w:tcPr>
            <w:tcW w:w="1393" w:type="pct"/>
            <w:gridSpan w:val="3"/>
            <w:vAlign w:val="center"/>
          </w:tcPr>
          <w:p w14:paraId="48FA11A9">
            <w:pPr>
              <w:widowControl/>
              <w:spacing w:line="360" w:lineRule="auto"/>
              <w:jc w:val="center"/>
              <w:rPr>
                <w:rFonts w:ascii="宋体" w:hAnsi="宋体"/>
                <w:b/>
                <w:color w:val="auto"/>
                <w:kern w:val="0"/>
                <w:highlight w:val="none"/>
              </w:rPr>
            </w:pPr>
            <w:r>
              <w:rPr>
                <w:rFonts w:hint="eastAsia" w:ascii="宋体" w:hAnsi="宋体" w:cs="宋体"/>
                <w:color w:val="auto"/>
                <w:szCs w:val="18"/>
                <w:highlight w:val="none"/>
              </w:rPr>
              <w:t>（以下各项合计）</w:t>
            </w:r>
          </w:p>
        </w:tc>
        <w:tc>
          <w:tcPr>
            <w:tcW w:w="656" w:type="pct"/>
            <w:vAlign w:val="center"/>
          </w:tcPr>
          <w:p w14:paraId="023849FE">
            <w:pPr>
              <w:widowControl/>
              <w:spacing w:line="360" w:lineRule="auto"/>
              <w:jc w:val="center"/>
              <w:rPr>
                <w:rFonts w:ascii="宋体" w:hAnsi="宋体"/>
                <w:b/>
                <w:color w:val="auto"/>
                <w:kern w:val="0"/>
                <w:highlight w:val="none"/>
              </w:rPr>
            </w:pPr>
            <w:r>
              <w:rPr>
                <w:rFonts w:hint="eastAsia" w:ascii="宋体" w:hAnsi="宋体"/>
                <w:b/>
                <w:color w:val="auto"/>
                <w:kern w:val="0"/>
                <w:highlight w:val="none"/>
              </w:rPr>
              <w:t xml:space="preserve"> </w:t>
            </w:r>
          </w:p>
        </w:tc>
        <w:tc>
          <w:tcPr>
            <w:tcW w:w="1697" w:type="pct"/>
            <w:vAlign w:val="center"/>
          </w:tcPr>
          <w:p w14:paraId="19E068AF">
            <w:pPr>
              <w:widowControl/>
              <w:spacing w:line="360" w:lineRule="auto"/>
              <w:jc w:val="center"/>
              <w:rPr>
                <w:rFonts w:hint="eastAsia" w:ascii="宋体" w:hAnsi="宋体"/>
                <w:b/>
                <w:color w:val="auto"/>
                <w:kern w:val="0"/>
                <w:highlight w:val="none"/>
              </w:rPr>
            </w:pPr>
          </w:p>
        </w:tc>
      </w:tr>
      <w:tr w14:paraId="357CC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433" w:type="pct"/>
            <w:vAlign w:val="center"/>
          </w:tcPr>
          <w:p w14:paraId="0013BE51">
            <w:pPr>
              <w:widowControl/>
              <w:spacing w:line="360" w:lineRule="auto"/>
              <w:jc w:val="center"/>
              <w:rPr>
                <w:rFonts w:ascii="宋体" w:hAnsi="宋体"/>
                <w:color w:val="auto"/>
                <w:kern w:val="0"/>
                <w:highlight w:val="none"/>
              </w:rPr>
            </w:pPr>
            <w:r>
              <w:rPr>
                <w:rFonts w:hint="eastAsia" w:ascii="宋体" w:hAnsi="宋体"/>
                <w:color w:val="auto"/>
                <w:kern w:val="0"/>
                <w:highlight w:val="none"/>
                <w:lang w:val="en-US" w:eastAsia="zh-CN"/>
              </w:rPr>
              <w:t>1.1</w:t>
            </w:r>
            <w:r>
              <w:rPr>
                <w:rFonts w:hint="eastAsia" w:ascii="宋体" w:hAnsi="宋体"/>
                <w:color w:val="auto"/>
                <w:kern w:val="0"/>
                <w:highlight w:val="none"/>
              </w:rPr>
              <w:t>　</w:t>
            </w:r>
          </w:p>
        </w:tc>
        <w:tc>
          <w:tcPr>
            <w:tcW w:w="819" w:type="pct"/>
            <w:vAlign w:val="center"/>
          </w:tcPr>
          <w:p w14:paraId="63AF822A">
            <w:pPr>
              <w:widowControl/>
              <w:spacing w:line="360" w:lineRule="auto"/>
              <w:jc w:val="center"/>
              <w:rPr>
                <w:rFonts w:ascii="宋体" w:hAnsi="宋体"/>
                <w:color w:val="auto"/>
                <w:kern w:val="0"/>
                <w:highlight w:val="none"/>
              </w:rPr>
            </w:pPr>
            <w:r>
              <w:rPr>
                <w:rFonts w:ascii="宋体" w:hAnsi="宋体"/>
                <w:color w:val="auto"/>
                <w:kern w:val="0"/>
                <w:highlight w:val="none"/>
              </w:rPr>
              <w:t>基本工资</w:t>
            </w:r>
          </w:p>
        </w:tc>
        <w:tc>
          <w:tcPr>
            <w:tcW w:w="456" w:type="pct"/>
            <w:vAlign w:val="center"/>
          </w:tcPr>
          <w:p w14:paraId="0AD7B28E">
            <w:pPr>
              <w:widowControl/>
              <w:spacing w:line="360" w:lineRule="auto"/>
              <w:jc w:val="center"/>
              <w:rPr>
                <w:rFonts w:hint="eastAsia" w:ascii="宋体" w:hAnsi="宋体" w:eastAsiaTheme="minorEastAsia"/>
                <w:color w:val="auto"/>
                <w:kern w:val="0"/>
                <w:highlight w:val="none"/>
                <w:lang w:val="en-US" w:eastAsia="zh-CN"/>
              </w:rPr>
            </w:pPr>
            <w:r>
              <w:rPr>
                <w:rFonts w:hint="eastAsia" w:ascii="宋体" w:hAnsi="宋体" w:cs="宋体"/>
                <w:color w:val="auto"/>
                <w:szCs w:val="18"/>
                <w:highlight w:val="none"/>
              </w:rPr>
              <w:t>人*</w:t>
            </w:r>
            <w:r>
              <w:rPr>
                <w:rFonts w:hint="eastAsia" w:ascii="宋体" w:hAnsi="宋体" w:cs="宋体"/>
                <w:color w:val="auto"/>
                <w:szCs w:val="18"/>
                <w:highlight w:val="none"/>
                <w:lang w:val="en-US" w:eastAsia="zh-CN"/>
              </w:rPr>
              <w:t>年</w:t>
            </w:r>
          </w:p>
        </w:tc>
        <w:tc>
          <w:tcPr>
            <w:tcW w:w="360" w:type="pct"/>
            <w:vAlign w:val="center"/>
          </w:tcPr>
          <w:p w14:paraId="5FFF5CC9">
            <w:pPr>
              <w:widowControl/>
              <w:spacing w:line="360" w:lineRule="auto"/>
              <w:jc w:val="center"/>
              <w:rPr>
                <w:rFonts w:hint="default" w:ascii="宋体" w:hAnsi="宋体" w:eastAsiaTheme="minorEastAsia"/>
                <w:color w:val="auto"/>
                <w:kern w:val="0"/>
                <w:highlight w:val="none"/>
                <w:lang w:val="en-US" w:eastAsia="zh-CN"/>
              </w:rPr>
            </w:pPr>
            <w:r>
              <w:rPr>
                <w:rFonts w:hint="eastAsia" w:ascii="宋体" w:hAnsi="宋体"/>
                <w:color w:val="auto"/>
                <w:kern w:val="0"/>
                <w:highlight w:val="none"/>
                <w:lang w:val="en-US" w:eastAsia="zh-CN"/>
              </w:rPr>
              <w:t>12</w:t>
            </w:r>
          </w:p>
        </w:tc>
        <w:tc>
          <w:tcPr>
            <w:tcW w:w="577" w:type="pct"/>
            <w:vAlign w:val="center"/>
          </w:tcPr>
          <w:p w14:paraId="126AC020">
            <w:pPr>
              <w:widowControl/>
              <w:spacing w:line="360" w:lineRule="auto"/>
              <w:jc w:val="center"/>
              <w:rPr>
                <w:rFonts w:ascii="宋体" w:hAnsi="宋体"/>
                <w:color w:val="auto"/>
                <w:kern w:val="0"/>
                <w:highlight w:val="none"/>
              </w:rPr>
            </w:pPr>
          </w:p>
        </w:tc>
        <w:tc>
          <w:tcPr>
            <w:tcW w:w="656" w:type="pct"/>
            <w:vAlign w:val="center"/>
          </w:tcPr>
          <w:p w14:paraId="6A1A05A7">
            <w:pPr>
              <w:widowControl/>
              <w:spacing w:line="360" w:lineRule="auto"/>
              <w:jc w:val="center"/>
              <w:rPr>
                <w:rFonts w:ascii="宋体" w:hAnsi="宋体"/>
                <w:color w:val="auto"/>
                <w:kern w:val="0"/>
                <w:highlight w:val="none"/>
              </w:rPr>
            </w:pPr>
          </w:p>
        </w:tc>
        <w:tc>
          <w:tcPr>
            <w:tcW w:w="1697" w:type="pct"/>
            <w:vAlign w:val="center"/>
          </w:tcPr>
          <w:p w14:paraId="08D766B7">
            <w:pPr>
              <w:widowControl/>
              <w:spacing w:line="360" w:lineRule="auto"/>
              <w:jc w:val="center"/>
              <w:rPr>
                <w:rFonts w:hint="eastAsia" w:ascii="宋体" w:hAnsi="宋体" w:eastAsiaTheme="minorEastAsia" w:cstheme="minorBidi"/>
                <w:color w:val="auto"/>
                <w:kern w:val="0"/>
                <w:sz w:val="21"/>
                <w:szCs w:val="24"/>
                <w:highlight w:val="none"/>
                <w:lang w:val="en-US" w:eastAsia="zh-CN" w:bidi="ar-SA"/>
              </w:rPr>
            </w:pPr>
            <w:r>
              <w:rPr>
                <w:rFonts w:hint="eastAsia" w:ascii="宋体" w:hAnsi="宋体" w:cs="宋体"/>
                <w:color w:val="auto"/>
                <w:sz w:val="20"/>
                <w:szCs w:val="16"/>
                <w:highlight w:val="none"/>
              </w:rPr>
              <w:t>人员工资不低于2260元/人</w:t>
            </w:r>
            <w:r>
              <w:rPr>
                <w:rFonts w:hint="eastAsia" w:ascii="宋体" w:hAnsi="宋体" w:cs="宋体"/>
                <w:color w:val="auto"/>
                <w:sz w:val="20"/>
                <w:szCs w:val="16"/>
                <w:highlight w:val="none"/>
                <w:lang w:val="en-US" w:eastAsia="zh-CN"/>
              </w:rPr>
              <w:t>/</w:t>
            </w:r>
            <w:r>
              <w:rPr>
                <w:rFonts w:hint="eastAsia" w:ascii="宋体" w:hAnsi="宋体" w:cs="宋体"/>
                <w:color w:val="auto"/>
                <w:sz w:val="20"/>
                <w:szCs w:val="16"/>
                <w:highlight w:val="none"/>
              </w:rPr>
              <w:t>月</w:t>
            </w:r>
          </w:p>
        </w:tc>
      </w:tr>
      <w:tr w14:paraId="377DA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3" w:type="pct"/>
            <w:vAlign w:val="center"/>
          </w:tcPr>
          <w:p w14:paraId="2BEC4C9C">
            <w:pPr>
              <w:widowControl/>
              <w:spacing w:line="360" w:lineRule="auto"/>
              <w:jc w:val="center"/>
              <w:rPr>
                <w:rFonts w:hint="default" w:ascii="宋体" w:hAnsi="宋体" w:eastAsiaTheme="minorEastAsia"/>
                <w:color w:val="auto"/>
                <w:kern w:val="0"/>
                <w:highlight w:val="none"/>
                <w:lang w:val="en-US" w:eastAsia="zh-CN"/>
              </w:rPr>
            </w:pPr>
            <w:r>
              <w:rPr>
                <w:rFonts w:hint="eastAsia" w:ascii="宋体" w:hAnsi="宋体"/>
                <w:color w:val="auto"/>
                <w:kern w:val="0"/>
                <w:highlight w:val="none"/>
                <w:lang w:val="en-US" w:eastAsia="zh-CN"/>
              </w:rPr>
              <w:t>1.2</w:t>
            </w:r>
          </w:p>
        </w:tc>
        <w:tc>
          <w:tcPr>
            <w:tcW w:w="819" w:type="pct"/>
            <w:vAlign w:val="center"/>
          </w:tcPr>
          <w:p w14:paraId="10B9FF15">
            <w:pPr>
              <w:spacing w:line="360" w:lineRule="auto"/>
              <w:jc w:val="center"/>
              <w:rPr>
                <w:rFonts w:ascii="宋体" w:hAnsi="宋体"/>
                <w:color w:val="auto"/>
                <w:kern w:val="0"/>
                <w:highlight w:val="none"/>
              </w:rPr>
            </w:pPr>
            <w:r>
              <w:rPr>
                <w:rFonts w:hint="eastAsia" w:ascii="宋体" w:hAnsi="宋体"/>
                <w:color w:val="auto"/>
                <w:kern w:val="0"/>
                <w:highlight w:val="none"/>
              </w:rPr>
              <w:t>国家法定假日加班费</w:t>
            </w:r>
          </w:p>
        </w:tc>
        <w:tc>
          <w:tcPr>
            <w:tcW w:w="456" w:type="pct"/>
            <w:vAlign w:val="center"/>
          </w:tcPr>
          <w:p w14:paraId="53C5D2F6">
            <w:pPr>
              <w:widowControl/>
              <w:spacing w:line="360" w:lineRule="auto"/>
              <w:jc w:val="center"/>
              <w:rPr>
                <w:rFonts w:ascii="宋体" w:hAnsi="宋体"/>
                <w:color w:val="auto"/>
                <w:kern w:val="0"/>
                <w:highlight w:val="none"/>
              </w:rPr>
            </w:pPr>
            <w:r>
              <w:rPr>
                <w:rFonts w:hint="eastAsia" w:ascii="宋体" w:hAnsi="宋体" w:cs="宋体"/>
                <w:color w:val="auto"/>
                <w:szCs w:val="18"/>
                <w:highlight w:val="none"/>
              </w:rPr>
              <w:t>人*年</w:t>
            </w:r>
          </w:p>
        </w:tc>
        <w:tc>
          <w:tcPr>
            <w:tcW w:w="360" w:type="pct"/>
            <w:vAlign w:val="center"/>
          </w:tcPr>
          <w:p w14:paraId="1254A79B">
            <w:pPr>
              <w:widowControl/>
              <w:spacing w:line="360" w:lineRule="auto"/>
              <w:jc w:val="center"/>
              <w:rPr>
                <w:rFonts w:hint="default" w:ascii="宋体" w:hAnsi="宋体" w:eastAsiaTheme="minorEastAsia"/>
                <w:color w:val="auto"/>
                <w:kern w:val="0"/>
                <w:highlight w:val="none"/>
                <w:lang w:val="en-US" w:eastAsia="zh-CN"/>
              </w:rPr>
            </w:pPr>
            <w:r>
              <w:rPr>
                <w:rFonts w:hint="eastAsia" w:ascii="宋体" w:hAnsi="宋体"/>
                <w:color w:val="auto"/>
                <w:kern w:val="0"/>
                <w:highlight w:val="none"/>
                <w:lang w:val="en-US" w:eastAsia="zh-CN"/>
              </w:rPr>
              <w:t>6</w:t>
            </w:r>
          </w:p>
        </w:tc>
        <w:tc>
          <w:tcPr>
            <w:tcW w:w="577" w:type="pct"/>
            <w:vAlign w:val="center"/>
          </w:tcPr>
          <w:p w14:paraId="37191AF8">
            <w:pPr>
              <w:widowControl/>
              <w:spacing w:line="360" w:lineRule="auto"/>
              <w:jc w:val="center"/>
              <w:rPr>
                <w:rFonts w:ascii="宋体" w:hAnsi="宋体"/>
                <w:color w:val="auto"/>
                <w:kern w:val="0"/>
                <w:highlight w:val="none"/>
              </w:rPr>
            </w:pPr>
          </w:p>
        </w:tc>
        <w:tc>
          <w:tcPr>
            <w:tcW w:w="656" w:type="pct"/>
            <w:vAlign w:val="center"/>
          </w:tcPr>
          <w:p w14:paraId="22B77EE4">
            <w:pPr>
              <w:widowControl/>
              <w:spacing w:line="360" w:lineRule="auto"/>
              <w:jc w:val="center"/>
              <w:rPr>
                <w:rFonts w:ascii="宋体" w:hAnsi="宋体"/>
                <w:color w:val="auto"/>
                <w:kern w:val="0"/>
                <w:highlight w:val="none"/>
              </w:rPr>
            </w:pPr>
          </w:p>
        </w:tc>
        <w:tc>
          <w:tcPr>
            <w:tcW w:w="1697" w:type="pct"/>
            <w:vAlign w:val="center"/>
          </w:tcPr>
          <w:p w14:paraId="25540F70">
            <w:pPr>
              <w:widowControl/>
              <w:spacing w:line="360" w:lineRule="auto"/>
              <w:jc w:val="center"/>
              <w:rPr>
                <w:rFonts w:hint="eastAsia" w:ascii="宋体" w:hAnsi="宋体" w:eastAsiaTheme="minorEastAsia" w:cstheme="minorBidi"/>
                <w:color w:val="auto"/>
                <w:kern w:val="0"/>
                <w:sz w:val="21"/>
                <w:szCs w:val="24"/>
                <w:highlight w:val="none"/>
                <w:lang w:val="en-US" w:eastAsia="zh-CN" w:bidi="ar-SA"/>
              </w:rPr>
            </w:pPr>
            <w:r>
              <w:rPr>
                <w:rFonts w:hint="eastAsia" w:ascii="宋体" w:hAnsi="宋体" w:cs="宋体"/>
                <w:color w:val="auto"/>
                <w:sz w:val="20"/>
                <w:szCs w:val="20"/>
                <w:highlight w:val="none"/>
              </w:rPr>
              <w:t>国假加班费不低于</w:t>
            </w:r>
            <w:r>
              <w:rPr>
                <w:rFonts w:hint="eastAsia" w:ascii="宋体" w:hAnsi="宋体" w:cs="宋体"/>
                <w:color w:val="auto"/>
                <w:sz w:val="20"/>
                <w:szCs w:val="20"/>
                <w:highlight w:val="none"/>
                <w:lang w:eastAsia="zh-CN"/>
              </w:rPr>
              <w:t>4052.41</w:t>
            </w:r>
            <w:r>
              <w:rPr>
                <w:rFonts w:hint="eastAsia" w:ascii="宋体" w:hAnsi="宋体" w:cs="宋体"/>
                <w:color w:val="auto"/>
                <w:sz w:val="20"/>
                <w:szCs w:val="20"/>
                <w:highlight w:val="none"/>
              </w:rPr>
              <w:t>元/人</w:t>
            </w:r>
            <w:r>
              <w:rPr>
                <w:rFonts w:hint="eastAsia" w:ascii="宋体" w:hAnsi="宋体" w:cs="宋体"/>
                <w:color w:val="auto"/>
                <w:sz w:val="20"/>
                <w:szCs w:val="20"/>
                <w:highlight w:val="none"/>
                <w:lang w:val="en-US" w:eastAsia="zh-CN"/>
              </w:rPr>
              <w:t>/</w:t>
            </w:r>
            <w:r>
              <w:rPr>
                <w:rFonts w:hint="eastAsia" w:ascii="宋体" w:hAnsi="宋体" w:cs="宋体"/>
                <w:color w:val="auto"/>
                <w:sz w:val="20"/>
                <w:szCs w:val="20"/>
                <w:highlight w:val="none"/>
              </w:rPr>
              <w:t>年</w:t>
            </w:r>
            <w:r>
              <w:rPr>
                <w:rFonts w:hint="eastAsia" w:ascii="宋体" w:hAnsi="宋体" w:cs="宋体"/>
                <w:color w:val="auto"/>
                <w:sz w:val="20"/>
                <w:szCs w:val="20"/>
                <w:highlight w:val="none"/>
                <w:lang w:eastAsia="zh-CN"/>
              </w:rPr>
              <w:t>，</w:t>
            </w:r>
            <w:r>
              <w:rPr>
                <w:rFonts w:hint="eastAsia" w:ascii="宋体" w:hAnsi="宋体" w:cs="宋体"/>
                <w:color w:val="auto"/>
                <w:sz w:val="20"/>
                <w:szCs w:val="20"/>
                <w:highlight w:val="none"/>
                <w:lang w:val="en-US" w:eastAsia="zh-CN"/>
              </w:rPr>
              <w:t>加班人数按6人计算</w:t>
            </w:r>
          </w:p>
        </w:tc>
      </w:tr>
      <w:tr w14:paraId="377C3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3" w:type="pct"/>
            <w:vAlign w:val="center"/>
          </w:tcPr>
          <w:p w14:paraId="1EDD4D8B">
            <w:pPr>
              <w:widowControl/>
              <w:spacing w:line="360" w:lineRule="auto"/>
              <w:jc w:val="center"/>
              <w:rPr>
                <w:rFonts w:hint="default" w:ascii="宋体" w:hAnsi="宋体" w:eastAsiaTheme="minorEastAsia"/>
                <w:color w:val="auto"/>
                <w:kern w:val="0"/>
                <w:highlight w:val="none"/>
                <w:lang w:val="en-US" w:eastAsia="zh-CN"/>
              </w:rPr>
            </w:pPr>
            <w:r>
              <w:rPr>
                <w:rFonts w:hint="eastAsia" w:ascii="宋体" w:hAnsi="宋体"/>
                <w:color w:val="auto"/>
                <w:kern w:val="0"/>
                <w:highlight w:val="none"/>
                <w:lang w:val="en-US" w:eastAsia="zh-CN"/>
              </w:rPr>
              <w:t>1.3</w:t>
            </w:r>
          </w:p>
        </w:tc>
        <w:tc>
          <w:tcPr>
            <w:tcW w:w="819" w:type="pct"/>
            <w:vAlign w:val="center"/>
          </w:tcPr>
          <w:p w14:paraId="4269F449">
            <w:pPr>
              <w:widowControl/>
              <w:spacing w:line="360" w:lineRule="auto"/>
              <w:jc w:val="center"/>
              <w:rPr>
                <w:rFonts w:hint="default" w:ascii="宋体" w:hAnsi="宋体" w:eastAsiaTheme="minorEastAsia"/>
                <w:color w:val="auto"/>
                <w:kern w:val="0"/>
                <w:highlight w:val="none"/>
                <w:lang w:val="en-US" w:eastAsia="zh-CN"/>
              </w:rPr>
            </w:pPr>
            <w:r>
              <w:rPr>
                <w:rFonts w:ascii="宋体" w:hAnsi="宋体"/>
                <w:color w:val="auto"/>
                <w:kern w:val="0"/>
                <w:highlight w:val="none"/>
              </w:rPr>
              <w:t>社保</w:t>
            </w:r>
          </w:p>
        </w:tc>
        <w:tc>
          <w:tcPr>
            <w:tcW w:w="456" w:type="pct"/>
            <w:vAlign w:val="center"/>
          </w:tcPr>
          <w:p w14:paraId="7613E60F">
            <w:pPr>
              <w:widowControl/>
              <w:spacing w:line="360" w:lineRule="auto"/>
              <w:jc w:val="center"/>
              <w:rPr>
                <w:rFonts w:ascii="宋体" w:hAnsi="宋体"/>
                <w:color w:val="auto"/>
                <w:kern w:val="0"/>
                <w:highlight w:val="none"/>
              </w:rPr>
            </w:pPr>
            <w:r>
              <w:rPr>
                <w:rFonts w:hint="eastAsia" w:ascii="宋体" w:hAnsi="宋体" w:cs="宋体"/>
                <w:color w:val="auto"/>
                <w:szCs w:val="18"/>
                <w:highlight w:val="none"/>
              </w:rPr>
              <w:t>人*</w:t>
            </w:r>
            <w:r>
              <w:rPr>
                <w:rFonts w:hint="eastAsia" w:ascii="宋体" w:hAnsi="宋体" w:cs="宋体"/>
                <w:color w:val="auto"/>
                <w:szCs w:val="18"/>
                <w:highlight w:val="none"/>
                <w:lang w:val="en-US" w:eastAsia="zh-CN"/>
              </w:rPr>
              <w:t>年</w:t>
            </w:r>
          </w:p>
        </w:tc>
        <w:tc>
          <w:tcPr>
            <w:tcW w:w="360" w:type="pct"/>
            <w:vAlign w:val="center"/>
          </w:tcPr>
          <w:p w14:paraId="4C3E0817">
            <w:pPr>
              <w:widowControl/>
              <w:spacing w:line="360" w:lineRule="auto"/>
              <w:jc w:val="center"/>
              <w:rPr>
                <w:rFonts w:hint="default" w:ascii="宋体" w:hAnsi="宋体" w:eastAsiaTheme="minorEastAsia"/>
                <w:color w:val="auto"/>
                <w:kern w:val="0"/>
                <w:highlight w:val="none"/>
                <w:lang w:val="en-US" w:eastAsia="zh-CN"/>
              </w:rPr>
            </w:pPr>
            <w:r>
              <w:rPr>
                <w:rFonts w:hint="eastAsia" w:ascii="宋体" w:hAnsi="宋体"/>
                <w:color w:val="auto"/>
                <w:kern w:val="0"/>
                <w:highlight w:val="none"/>
                <w:lang w:val="en-US" w:eastAsia="zh-CN"/>
              </w:rPr>
              <w:t>12</w:t>
            </w:r>
          </w:p>
        </w:tc>
        <w:tc>
          <w:tcPr>
            <w:tcW w:w="577" w:type="pct"/>
            <w:vAlign w:val="center"/>
          </w:tcPr>
          <w:p w14:paraId="7016BA71">
            <w:pPr>
              <w:widowControl/>
              <w:spacing w:line="360" w:lineRule="auto"/>
              <w:jc w:val="center"/>
              <w:rPr>
                <w:rFonts w:ascii="宋体" w:hAnsi="宋体"/>
                <w:color w:val="auto"/>
                <w:kern w:val="0"/>
                <w:highlight w:val="none"/>
              </w:rPr>
            </w:pPr>
          </w:p>
        </w:tc>
        <w:tc>
          <w:tcPr>
            <w:tcW w:w="656" w:type="pct"/>
            <w:vAlign w:val="center"/>
          </w:tcPr>
          <w:p w14:paraId="04F6DB08">
            <w:pPr>
              <w:widowControl/>
              <w:spacing w:line="360" w:lineRule="auto"/>
              <w:jc w:val="center"/>
              <w:rPr>
                <w:rFonts w:ascii="宋体" w:hAnsi="宋体"/>
                <w:color w:val="auto"/>
                <w:kern w:val="0"/>
                <w:highlight w:val="none"/>
              </w:rPr>
            </w:pPr>
          </w:p>
        </w:tc>
        <w:tc>
          <w:tcPr>
            <w:tcW w:w="1697" w:type="pct"/>
            <w:vAlign w:val="center"/>
          </w:tcPr>
          <w:p w14:paraId="2D1D9344">
            <w:pPr>
              <w:widowControl/>
              <w:spacing w:line="360" w:lineRule="auto"/>
              <w:jc w:val="center"/>
              <w:rPr>
                <w:rFonts w:hint="eastAsia" w:ascii="宋体" w:hAnsi="宋体" w:eastAsiaTheme="minorEastAsia" w:cstheme="minorBidi"/>
                <w:color w:val="auto"/>
                <w:kern w:val="0"/>
                <w:sz w:val="21"/>
                <w:szCs w:val="24"/>
                <w:highlight w:val="none"/>
                <w:lang w:val="en-US" w:eastAsia="zh-CN" w:bidi="ar-SA"/>
              </w:rPr>
            </w:pPr>
            <w:r>
              <w:rPr>
                <w:rFonts w:hint="eastAsia" w:ascii="宋体" w:hAnsi="宋体" w:cs="宋体"/>
                <w:color w:val="auto"/>
                <w:sz w:val="20"/>
                <w:szCs w:val="20"/>
                <w:highlight w:val="none"/>
              </w:rPr>
              <w:t>所有人员</w:t>
            </w:r>
            <w:r>
              <w:rPr>
                <w:rFonts w:hint="eastAsia" w:ascii="宋体" w:hAnsi="宋体" w:cs="宋体"/>
                <w:color w:val="auto"/>
                <w:sz w:val="20"/>
                <w:szCs w:val="20"/>
                <w:highlight w:val="none"/>
                <w:lang w:val="en-US" w:eastAsia="zh-CN"/>
              </w:rPr>
              <w:t>社保不低于</w:t>
            </w:r>
            <w:r>
              <w:rPr>
                <w:rFonts w:hint="eastAsia" w:ascii="宋体" w:hAnsi="宋体" w:cs="宋体"/>
                <w:color w:val="auto"/>
                <w:sz w:val="20"/>
                <w:szCs w:val="20"/>
                <w:highlight w:val="none"/>
                <w:lang w:eastAsia="zh-CN"/>
              </w:rPr>
              <w:t>129</w:t>
            </w:r>
            <w:r>
              <w:rPr>
                <w:rFonts w:hint="eastAsia" w:ascii="宋体" w:hAnsi="宋体" w:cs="宋体"/>
                <w:color w:val="auto"/>
                <w:sz w:val="20"/>
                <w:szCs w:val="20"/>
                <w:highlight w:val="none"/>
                <w:lang w:val="en-US" w:eastAsia="zh-CN"/>
              </w:rPr>
              <w:t>2</w:t>
            </w:r>
            <w:r>
              <w:rPr>
                <w:rFonts w:hint="eastAsia" w:ascii="宋体" w:hAnsi="宋体" w:cs="宋体"/>
                <w:color w:val="auto"/>
                <w:sz w:val="20"/>
                <w:szCs w:val="20"/>
                <w:highlight w:val="none"/>
                <w:lang w:eastAsia="zh-CN"/>
              </w:rPr>
              <w:t>.47</w:t>
            </w:r>
            <w:r>
              <w:rPr>
                <w:rFonts w:hint="eastAsia" w:ascii="宋体" w:hAnsi="宋体" w:cs="宋体"/>
                <w:color w:val="auto"/>
                <w:sz w:val="20"/>
                <w:szCs w:val="20"/>
                <w:highlight w:val="none"/>
              </w:rPr>
              <w:t>元/人</w:t>
            </w:r>
            <w:r>
              <w:rPr>
                <w:rFonts w:hint="eastAsia" w:ascii="宋体" w:hAnsi="宋体" w:cs="宋体"/>
                <w:color w:val="auto"/>
                <w:sz w:val="20"/>
                <w:szCs w:val="20"/>
                <w:highlight w:val="none"/>
                <w:lang w:val="en-US" w:eastAsia="zh-CN"/>
              </w:rPr>
              <w:t>/</w:t>
            </w:r>
            <w:r>
              <w:rPr>
                <w:rFonts w:hint="eastAsia" w:ascii="宋体" w:hAnsi="宋体" w:cs="宋体"/>
                <w:color w:val="auto"/>
                <w:sz w:val="20"/>
                <w:szCs w:val="20"/>
                <w:highlight w:val="none"/>
              </w:rPr>
              <w:t>月</w:t>
            </w:r>
          </w:p>
        </w:tc>
      </w:tr>
      <w:tr w14:paraId="61ED6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3" w:type="pct"/>
            <w:vAlign w:val="center"/>
          </w:tcPr>
          <w:p w14:paraId="0284F9D6">
            <w:pPr>
              <w:widowControl/>
              <w:spacing w:line="360" w:lineRule="auto"/>
              <w:jc w:val="center"/>
              <w:rPr>
                <w:rFonts w:hint="default" w:ascii="宋体" w:hAnsi="宋体" w:eastAsiaTheme="minorEastAsia"/>
                <w:color w:val="auto"/>
                <w:kern w:val="0"/>
                <w:highlight w:val="none"/>
                <w:lang w:val="en-US" w:eastAsia="zh-CN"/>
              </w:rPr>
            </w:pPr>
            <w:r>
              <w:rPr>
                <w:rFonts w:hint="eastAsia" w:ascii="宋体" w:hAnsi="宋体"/>
                <w:color w:val="auto"/>
                <w:kern w:val="0"/>
                <w:highlight w:val="none"/>
                <w:lang w:val="en-US" w:eastAsia="zh-CN"/>
              </w:rPr>
              <w:t>1.4</w:t>
            </w:r>
          </w:p>
        </w:tc>
        <w:tc>
          <w:tcPr>
            <w:tcW w:w="819" w:type="pct"/>
            <w:vAlign w:val="center"/>
          </w:tcPr>
          <w:p w14:paraId="26BAFAB2">
            <w:pPr>
              <w:widowControl/>
              <w:spacing w:line="360" w:lineRule="auto"/>
              <w:jc w:val="center"/>
              <w:rPr>
                <w:rFonts w:hint="eastAsia" w:ascii="宋体" w:hAnsi="宋体" w:eastAsiaTheme="minorEastAsia"/>
                <w:color w:val="auto"/>
                <w:kern w:val="0"/>
                <w:highlight w:val="none"/>
                <w:lang w:eastAsia="zh-CN"/>
              </w:rPr>
            </w:pPr>
            <w:r>
              <w:rPr>
                <w:rFonts w:hint="eastAsia" w:ascii="宋体" w:hAnsi="宋体"/>
                <w:color w:val="auto"/>
                <w:kern w:val="0"/>
                <w:highlight w:val="none"/>
                <w:lang w:val="en-US" w:eastAsia="zh-CN"/>
              </w:rPr>
              <w:t>公积金</w:t>
            </w:r>
          </w:p>
        </w:tc>
        <w:tc>
          <w:tcPr>
            <w:tcW w:w="456" w:type="pct"/>
            <w:vAlign w:val="center"/>
          </w:tcPr>
          <w:p w14:paraId="01473D7F">
            <w:pPr>
              <w:widowControl/>
              <w:spacing w:line="360" w:lineRule="auto"/>
              <w:jc w:val="center"/>
              <w:rPr>
                <w:rFonts w:hint="eastAsia" w:ascii="宋体" w:hAnsi="宋体" w:eastAsiaTheme="minorEastAsia"/>
                <w:color w:val="auto"/>
                <w:kern w:val="0"/>
                <w:highlight w:val="none"/>
                <w:lang w:eastAsia="zh-CN"/>
              </w:rPr>
            </w:pPr>
            <w:r>
              <w:rPr>
                <w:rFonts w:hint="eastAsia" w:ascii="宋体" w:hAnsi="宋体" w:cs="宋体"/>
                <w:color w:val="auto"/>
                <w:szCs w:val="18"/>
                <w:highlight w:val="none"/>
              </w:rPr>
              <w:t>人*</w:t>
            </w:r>
            <w:r>
              <w:rPr>
                <w:rFonts w:hint="eastAsia" w:ascii="宋体" w:hAnsi="宋体" w:cs="宋体"/>
                <w:color w:val="auto"/>
                <w:szCs w:val="18"/>
                <w:highlight w:val="none"/>
                <w:lang w:val="en-US" w:eastAsia="zh-CN"/>
              </w:rPr>
              <w:t>年</w:t>
            </w:r>
          </w:p>
        </w:tc>
        <w:tc>
          <w:tcPr>
            <w:tcW w:w="360" w:type="pct"/>
            <w:vAlign w:val="center"/>
          </w:tcPr>
          <w:p w14:paraId="581666A4">
            <w:pPr>
              <w:widowControl/>
              <w:spacing w:line="360" w:lineRule="auto"/>
              <w:jc w:val="center"/>
              <w:rPr>
                <w:rFonts w:hint="default" w:ascii="宋体" w:hAnsi="宋体" w:eastAsiaTheme="minorEastAsia"/>
                <w:color w:val="auto"/>
                <w:kern w:val="0"/>
                <w:highlight w:val="none"/>
                <w:lang w:val="en-US" w:eastAsia="zh-CN"/>
              </w:rPr>
            </w:pPr>
            <w:r>
              <w:rPr>
                <w:rFonts w:hint="eastAsia" w:ascii="宋体" w:hAnsi="宋体"/>
                <w:color w:val="auto"/>
                <w:kern w:val="0"/>
                <w:highlight w:val="none"/>
                <w:lang w:val="en-US" w:eastAsia="zh-CN"/>
              </w:rPr>
              <w:t>12</w:t>
            </w:r>
          </w:p>
        </w:tc>
        <w:tc>
          <w:tcPr>
            <w:tcW w:w="577" w:type="pct"/>
            <w:vAlign w:val="center"/>
          </w:tcPr>
          <w:p w14:paraId="782C63E4">
            <w:pPr>
              <w:widowControl/>
              <w:spacing w:line="360" w:lineRule="auto"/>
              <w:jc w:val="center"/>
              <w:rPr>
                <w:rFonts w:ascii="宋体" w:hAnsi="宋体"/>
                <w:color w:val="auto"/>
                <w:kern w:val="0"/>
                <w:highlight w:val="none"/>
              </w:rPr>
            </w:pPr>
          </w:p>
        </w:tc>
        <w:tc>
          <w:tcPr>
            <w:tcW w:w="656" w:type="pct"/>
            <w:vAlign w:val="center"/>
          </w:tcPr>
          <w:p w14:paraId="6BFC9B25">
            <w:pPr>
              <w:widowControl/>
              <w:spacing w:line="360" w:lineRule="auto"/>
              <w:jc w:val="center"/>
              <w:rPr>
                <w:rFonts w:ascii="宋体" w:hAnsi="宋体"/>
                <w:color w:val="auto"/>
                <w:kern w:val="0"/>
                <w:highlight w:val="none"/>
              </w:rPr>
            </w:pPr>
          </w:p>
        </w:tc>
        <w:tc>
          <w:tcPr>
            <w:tcW w:w="1697" w:type="pct"/>
            <w:vAlign w:val="center"/>
          </w:tcPr>
          <w:p w14:paraId="3F1EE950">
            <w:pPr>
              <w:widowControl/>
              <w:spacing w:line="360" w:lineRule="auto"/>
              <w:jc w:val="center"/>
              <w:rPr>
                <w:rFonts w:hint="eastAsia" w:ascii="宋体" w:hAnsi="宋体" w:eastAsiaTheme="minorEastAsia" w:cstheme="minorBidi"/>
                <w:color w:val="auto"/>
                <w:kern w:val="0"/>
                <w:sz w:val="21"/>
                <w:szCs w:val="24"/>
                <w:highlight w:val="none"/>
                <w:lang w:val="en-US" w:eastAsia="zh-CN" w:bidi="ar-SA"/>
              </w:rPr>
            </w:pPr>
            <w:r>
              <w:rPr>
                <w:rFonts w:hint="eastAsia" w:ascii="宋体" w:hAnsi="宋体" w:cs="宋体"/>
                <w:color w:val="auto"/>
                <w:sz w:val="20"/>
                <w:szCs w:val="20"/>
                <w:highlight w:val="none"/>
              </w:rPr>
              <w:t>所有人员</w:t>
            </w:r>
            <w:r>
              <w:rPr>
                <w:rFonts w:hint="eastAsia" w:ascii="宋体" w:hAnsi="宋体" w:cs="宋体"/>
                <w:color w:val="auto"/>
                <w:sz w:val="20"/>
                <w:szCs w:val="20"/>
                <w:highlight w:val="none"/>
                <w:lang w:val="zh-CN"/>
              </w:rPr>
              <w:t>住房公积金不得低于114元</w:t>
            </w:r>
            <w:r>
              <w:rPr>
                <w:rFonts w:hint="eastAsia" w:ascii="宋体" w:hAnsi="宋体" w:cs="宋体"/>
                <w:color w:val="auto"/>
                <w:sz w:val="20"/>
                <w:szCs w:val="20"/>
                <w:highlight w:val="none"/>
                <w:lang w:val="en-US" w:eastAsia="zh-CN"/>
              </w:rPr>
              <w:t>/</w:t>
            </w:r>
            <w:r>
              <w:rPr>
                <w:rFonts w:hint="eastAsia" w:ascii="宋体" w:hAnsi="宋体" w:cs="宋体"/>
                <w:color w:val="auto"/>
                <w:sz w:val="20"/>
                <w:szCs w:val="20"/>
                <w:highlight w:val="none"/>
                <w:lang w:val="zh-CN"/>
              </w:rPr>
              <w:t>人</w:t>
            </w:r>
            <w:r>
              <w:rPr>
                <w:rFonts w:hint="eastAsia" w:ascii="宋体" w:hAnsi="宋体" w:cs="宋体"/>
                <w:color w:val="auto"/>
                <w:sz w:val="20"/>
                <w:szCs w:val="20"/>
                <w:highlight w:val="none"/>
                <w:lang w:val="en-US" w:eastAsia="zh-CN"/>
              </w:rPr>
              <w:t>/</w:t>
            </w:r>
            <w:r>
              <w:rPr>
                <w:rFonts w:hint="eastAsia" w:ascii="宋体" w:hAnsi="宋体" w:cs="宋体"/>
                <w:color w:val="auto"/>
                <w:sz w:val="20"/>
                <w:szCs w:val="20"/>
                <w:highlight w:val="none"/>
                <w:lang w:val="zh-CN"/>
              </w:rPr>
              <w:t>月</w:t>
            </w:r>
          </w:p>
        </w:tc>
      </w:tr>
      <w:tr w14:paraId="4E63D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433" w:type="pct"/>
            <w:vAlign w:val="center"/>
          </w:tcPr>
          <w:p w14:paraId="2FE361A1">
            <w:pPr>
              <w:spacing w:line="360" w:lineRule="auto"/>
              <w:jc w:val="center"/>
              <w:rPr>
                <w:rFonts w:hint="default" w:ascii="宋体" w:hAnsi="宋体"/>
                <w:b w:val="0"/>
                <w:bCs/>
                <w:color w:val="auto"/>
                <w:kern w:val="0"/>
                <w:highlight w:val="none"/>
                <w:lang w:val="en-US" w:eastAsia="zh-CN"/>
              </w:rPr>
            </w:pPr>
            <w:r>
              <w:rPr>
                <w:rFonts w:hint="eastAsia" w:ascii="宋体" w:hAnsi="宋体"/>
                <w:b/>
                <w:color w:val="auto"/>
                <w:kern w:val="0"/>
                <w:highlight w:val="none"/>
                <w:lang w:val="en-US" w:eastAsia="zh-CN"/>
              </w:rPr>
              <w:t>2</w:t>
            </w:r>
          </w:p>
        </w:tc>
        <w:tc>
          <w:tcPr>
            <w:tcW w:w="819" w:type="pct"/>
            <w:vAlign w:val="center"/>
          </w:tcPr>
          <w:p w14:paraId="003C013B">
            <w:pPr>
              <w:spacing w:line="360" w:lineRule="auto"/>
              <w:jc w:val="center"/>
              <w:rPr>
                <w:rFonts w:hint="eastAsia" w:ascii="宋体" w:hAnsi="宋体"/>
                <w:b w:val="0"/>
                <w:bCs/>
                <w:color w:val="auto"/>
                <w:kern w:val="0"/>
                <w:highlight w:val="none"/>
              </w:rPr>
            </w:pPr>
            <w:r>
              <w:rPr>
                <w:rFonts w:hint="eastAsia" w:ascii="宋体" w:hAnsi="宋体"/>
                <w:b/>
                <w:color w:val="auto"/>
                <w:kern w:val="0"/>
                <w:highlight w:val="none"/>
              </w:rPr>
              <w:t>综合管理杂费</w:t>
            </w:r>
          </w:p>
        </w:tc>
        <w:tc>
          <w:tcPr>
            <w:tcW w:w="456" w:type="pct"/>
            <w:vAlign w:val="center"/>
          </w:tcPr>
          <w:p w14:paraId="7E1C715F">
            <w:pPr>
              <w:spacing w:line="360" w:lineRule="auto"/>
              <w:jc w:val="center"/>
              <w:rPr>
                <w:rFonts w:hint="default" w:ascii="宋体" w:hAnsi="宋体"/>
                <w:b w:val="0"/>
                <w:bCs/>
                <w:color w:val="auto"/>
                <w:kern w:val="0"/>
                <w:highlight w:val="none"/>
                <w:lang w:val="en-US" w:eastAsia="zh-CN"/>
              </w:rPr>
            </w:pPr>
            <w:r>
              <w:rPr>
                <w:rFonts w:hint="eastAsia" w:ascii="宋体" w:hAnsi="宋体"/>
                <w:b/>
                <w:color w:val="auto"/>
                <w:kern w:val="0"/>
                <w:highlight w:val="none"/>
                <w:lang w:val="en-US" w:eastAsia="zh-CN"/>
              </w:rPr>
              <w:t>年</w:t>
            </w:r>
          </w:p>
        </w:tc>
        <w:tc>
          <w:tcPr>
            <w:tcW w:w="360" w:type="pct"/>
            <w:vAlign w:val="center"/>
          </w:tcPr>
          <w:p w14:paraId="4C4246CD">
            <w:pPr>
              <w:spacing w:line="360" w:lineRule="auto"/>
              <w:jc w:val="center"/>
              <w:rPr>
                <w:rFonts w:hint="default" w:ascii="宋体" w:hAnsi="宋体"/>
                <w:b w:val="0"/>
                <w:bCs/>
                <w:color w:val="auto"/>
                <w:kern w:val="0"/>
                <w:highlight w:val="none"/>
                <w:lang w:val="en-US" w:eastAsia="zh-CN"/>
              </w:rPr>
            </w:pPr>
            <w:r>
              <w:rPr>
                <w:rFonts w:hint="eastAsia" w:ascii="宋体" w:hAnsi="宋体"/>
                <w:b/>
                <w:color w:val="auto"/>
                <w:kern w:val="0"/>
                <w:highlight w:val="none"/>
                <w:lang w:val="en-US" w:eastAsia="zh-CN"/>
              </w:rPr>
              <w:t>1</w:t>
            </w:r>
          </w:p>
        </w:tc>
        <w:tc>
          <w:tcPr>
            <w:tcW w:w="577" w:type="pct"/>
            <w:vAlign w:val="center"/>
          </w:tcPr>
          <w:p w14:paraId="31313D0A">
            <w:pPr>
              <w:spacing w:line="360" w:lineRule="auto"/>
              <w:jc w:val="center"/>
              <w:rPr>
                <w:rFonts w:ascii="宋体" w:hAnsi="宋体"/>
                <w:b w:val="0"/>
                <w:bCs/>
                <w:color w:val="auto"/>
                <w:kern w:val="0"/>
                <w:highlight w:val="none"/>
              </w:rPr>
            </w:pPr>
          </w:p>
        </w:tc>
        <w:tc>
          <w:tcPr>
            <w:tcW w:w="656" w:type="pct"/>
            <w:vAlign w:val="center"/>
          </w:tcPr>
          <w:p w14:paraId="5130C181">
            <w:pPr>
              <w:spacing w:line="360" w:lineRule="auto"/>
              <w:jc w:val="center"/>
              <w:rPr>
                <w:rFonts w:hint="default" w:ascii="宋体" w:hAnsi="宋体"/>
                <w:b w:val="0"/>
                <w:bCs/>
                <w:color w:val="auto"/>
                <w:kern w:val="0"/>
                <w:highlight w:val="none"/>
                <w:lang w:val="en-US" w:eastAsia="zh-CN"/>
              </w:rPr>
            </w:pPr>
          </w:p>
        </w:tc>
        <w:tc>
          <w:tcPr>
            <w:tcW w:w="1697" w:type="pct"/>
            <w:vAlign w:val="center"/>
          </w:tcPr>
          <w:p w14:paraId="2792F037">
            <w:pPr>
              <w:spacing w:line="360" w:lineRule="auto"/>
              <w:ind w:firstLine="600" w:firstLineChars="300"/>
              <w:jc w:val="both"/>
              <w:rPr>
                <w:rFonts w:hint="eastAsia" w:ascii="宋体" w:hAnsi="宋体" w:eastAsia="宋体" w:cs="宋体"/>
                <w:b w:val="0"/>
                <w:bCs/>
                <w:color w:val="auto"/>
                <w:sz w:val="20"/>
                <w:szCs w:val="16"/>
                <w:highlight w:val="none"/>
                <w:lang w:val="en-US" w:eastAsia="zh-CN"/>
              </w:rPr>
            </w:pPr>
            <w:r>
              <w:rPr>
                <w:rFonts w:hint="eastAsia" w:ascii="宋体" w:hAnsi="宋体" w:eastAsia="宋体" w:cs="宋体"/>
                <w:color w:val="auto"/>
                <w:sz w:val="20"/>
                <w:szCs w:val="16"/>
                <w:highlight w:val="none"/>
                <w:lang w:val="en-US" w:eastAsia="zh-CN"/>
              </w:rPr>
              <w:t>投标人自行报价</w:t>
            </w:r>
          </w:p>
        </w:tc>
      </w:tr>
      <w:tr w14:paraId="26A52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433" w:type="pct"/>
            <w:vAlign w:val="center"/>
          </w:tcPr>
          <w:p w14:paraId="2F2825F5">
            <w:pPr>
              <w:spacing w:line="360" w:lineRule="auto"/>
              <w:jc w:val="center"/>
              <w:rPr>
                <w:rFonts w:hint="eastAsia" w:ascii="宋体" w:hAnsi="宋体"/>
                <w:b/>
                <w:color w:val="auto"/>
                <w:kern w:val="0"/>
                <w:highlight w:val="none"/>
              </w:rPr>
            </w:pPr>
            <w:r>
              <w:rPr>
                <w:rFonts w:hint="eastAsia" w:ascii="宋体" w:hAnsi="宋体"/>
                <w:b/>
                <w:color w:val="auto"/>
                <w:kern w:val="0"/>
                <w:highlight w:val="none"/>
              </w:rPr>
              <w:t>3</w:t>
            </w:r>
          </w:p>
        </w:tc>
        <w:tc>
          <w:tcPr>
            <w:tcW w:w="819" w:type="pct"/>
            <w:vAlign w:val="center"/>
          </w:tcPr>
          <w:p w14:paraId="3D48B77F">
            <w:pPr>
              <w:spacing w:line="360" w:lineRule="auto"/>
              <w:jc w:val="center"/>
              <w:rPr>
                <w:rFonts w:hint="eastAsia" w:ascii="宋体" w:hAnsi="宋体"/>
                <w:b/>
                <w:color w:val="auto"/>
                <w:kern w:val="0"/>
                <w:highlight w:val="none"/>
              </w:rPr>
            </w:pPr>
            <w:r>
              <w:rPr>
                <w:rFonts w:hint="eastAsia" w:ascii="宋体" w:hAnsi="宋体"/>
                <w:b/>
                <w:color w:val="auto"/>
                <w:kern w:val="0"/>
                <w:highlight w:val="none"/>
              </w:rPr>
              <w:t>其他费用</w:t>
            </w:r>
          </w:p>
        </w:tc>
        <w:tc>
          <w:tcPr>
            <w:tcW w:w="456" w:type="pct"/>
            <w:vAlign w:val="center"/>
          </w:tcPr>
          <w:p w14:paraId="3EFFDC09">
            <w:pPr>
              <w:spacing w:line="360" w:lineRule="auto"/>
              <w:jc w:val="center"/>
              <w:rPr>
                <w:rFonts w:hint="eastAsia" w:ascii="宋体" w:hAnsi="宋体"/>
                <w:b/>
                <w:color w:val="auto"/>
                <w:kern w:val="0"/>
                <w:highlight w:val="none"/>
                <w:lang w:val="en-US" w:eastAsia="zh-CN"/>
              </w:rPr>
            </w:pPr>
            <w:r>
              <w:rPr>
                <w:rFonts w:hint="eastAsia" w:ascii="宋体" w:hAnsi="宋体"/>
                <w:b/>
                <w:color w:val="auto"/>
                <w:kern w:val="0"/>
                <w:highlight w:val="none"/>
                <w:lang w:val="en-US" w:eastAsia="zh-CN"/>
              </w:rPr>
              <w:t>年</w:t>
            </w:r>
          </w:p>
        </w:tc>
        <w:tc>
          <w:tcPr>
            <w:tcW w:w="360" w:type="pct"/>
            <w:vAlign w:val="center"/>
          </w:tcPr>
          <w:p w14:paraId="30F4B324">
            <w:pPr>
              <w:spacing w:line="360" w:lineRule="auto"/>
              <w:jc w:val="center"/>
              <w:rPr>
                <w:rFonts w:hint="eastAsia" w:ascii="宋体" w:hAnsi="宋体"/>
                <w:b/>
                <w:color w:val="auto"/>
                <w:kern w:val="0"/>
                <w:highlight w:val="none"/>
                <w:lang w:val="en-US" w:eastAsia="zh-CN"/>
              </w:rPr>
            </w:pPr>
            <w:r>
              <w:rPr>
                <w:rFonts w:hint="eastAsia" w:ascii="宋体" w:hAnsi="宋体"/>
                <w:b/>
                <w:color w:val="auto"/>
                <w:kern w:val="0"/>
                <w:highlight w:val="none"/>
                <w:lang w:val="en-US" w:eastAsia="zh-CN"/>
              </w:rPr>
              <w:t>1</w:t>
            </w:r>
          </w:p>
        </w:tc>
        <w:tc>
          <w:tcPr>
            <w:tcW w:w="577" w:type="pct"/>
            <w:vAlign w:val="center"/>
          </w:tcPr>
          <w:p w14:paraId="500EEA30">
            <w:pPr>
              <w:spacing w:line="360" w:lineRule="auto"/>
              <w:jc w:val="center"/>
              <w:rPr>
                <w:rFonts w:ascii="宋体" w:hAnsi="宋体"/>
                <w:b/>
                <w:color w:val="auto"/>
                <w:kern w:val="0"/>
                <w:highlight w:val="none"/>
              </w:rPr>
            </w:pPr>
          </w:p>
        </w:tc>
        <w:tc>
          <w:tcPr>
            <w:tcW w:w="656" w:type="pct"/>
            <w:vAlign w:val="center"/>
          </w:tcPr>
          <w:p w14:paraId="7303FEC1">
            <w:pPr>
              <w:spacing w:line="360" w:lineRule="auto"/>
              <w:jc w:val="center"/>
              <w:rPr>
                <w:rFonts w:hint="default" w:ascii="宋体" w:hAnsi="宋体"/>
                <w:b/>
                <w:color w:val="auto"/>
                <w:kern w:val="0"/>
                <w:highlight w:val="none"/>
                <w:lang w:val="en-US" w:eastAsia="zh-CN"/>
              </w:rPr>
            </w:pPr>
          </w:p>
        </w:tc>
        <w:tc>
          <w:tcPr>
            <w:tcW w:w="1697" w:type="pct"/>
            <w:vAlign w:val="center"/>
          </w:tcPr>
          <w:p w14:paraId="38AE51EA">
            <w:pPr>
              <w:spacing w:line="360" w:lineRule="auto"/>
              <w:ind w:firstLine="600" w:firstLineChars="300"/>
              <w:jc w:val="both"/>
              <w:rPr>
                <w:rFonts w:hint="eastAsia" w:ascii="宋体" w:hAnsi="宋体" w:eastAsia="宋体" w:cs="宋体"/>
                <w:color w:val="auto"/>
                <w:sz w:val="20"/>
                <w:szCs w:val="16"/>
                <w:highlight w:val="none"/>
                <w:lang w:val="en-US" w:eastAsia="zh-CN"/>
              </w:rPr>
            </w:pPr>
            <w:r>
              <w:rPr>
                <w:rFonts w:hint="eastAsia" w:ascii="宋体" w:hAnsi="宋体" w:eastAsia="宋体" w:cs="宋体"/>
                <w:color w:val="auto"/>
                <w:sz w:val="20"/>
                <w:szCs w:val="16"/>
                <w:highlight w:val="none"/>
                <w:lang w:val="en-US" w:eastAsia="zh-CN"/>
              </w:rPr>
              <w:t>投标人自行报价</w:t>
            </w:r>
          </w:p>
        </w:tc>
      </w:tr>
      <w:tr w14:paraId="18095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433" w:type="pct"/>
            <w:vAlign w:val="center"/>
          </w:tcPr>
          <w:p w14:paraId="6126AFE0">
            <w:pPr>
              <w:widowControl/>
              <w:spacing w:line="360" w:lineRule="auto"/>
              <w:jc w:val="center"/>
              <w:rPr>
                <w:rFonts w:ascii="宋体" w:hAnsi="宋体"/>
                <w:b/>
                <w:color w:val="auto"/>
                <w:kern w:val="0"/>
                <w:highlight w:val="none"/>
              </w:rPr>
            </w:pPr>
            <w:r>
              <w:rPr>
                <w:rFonts w:hint="eastAsia" w:ascii="宋体" w:hAnsi="宋体"/>
                <w:b/>
                <w:color w:val="auto"/>
                <w:kern w:val="0"/>
                <w:highlight w:val="none"/>
              </w:rPr>
              <w:t>4</w:t>
            </w:r>
          </w:p>
        </w:tc>
        <w:tc>
          <w:tcPr>
            <w:tcW w:w="819" w:type="pct"/>
            <w:vAlign w:val="center"/>
          </w:tcPr>
          <w:p w14:paraId="7070A292">
            <w:pPr>
              <w:widowControl/>
              <w:spacing w:line="360" w:lineRule="auto"/>
              <w:jc w:val="center"/>
              <w:rPr>
                <w:rFonts w:ascii="宋体" w:hAnsi="宋体"/>
                <w:b/>
                <w:color w:val="auto"/>
                <w:kern w:val="0"/>
                <w:highlight w:val="none"/>
              </w:rPr>
            </w:pPr>
            <w:r>
              <w:rPr>
                <w:rFonts w:hint="eastAsia" w:ascii="宋体" w:hAnsi="宋体"/>
                <w:b/>
                <w:color w:val="auto"/>
                <w:kern w:val="0"/>
                <w:highlight w:val="none"/>
              </w:rPr>
              <w:t>法定税费</w:t>
            </w:r>
          </w:p>
        </w:tc>
        <w:tc>
          <w:tcPr>
            <w:tcW w:w="456" w:type="pct"/>
            <w:vAlign w:val="center"/>
          </w:tcPr>
          <w:p w14:paraId="60E17085">
            <w:pPr>
              <w:widowControl/>
              <w:spacing w:line="360" w:lineRule="auto"/>
              <w:jc w:val="center"/>
              <w:rPr>
                <w:rFonts w:hint="eastAsia" w:ascii="宋体" w:hAnsi="宋体" w:eastAsiaTheme="minorEastAsia"/>
                <w:b/>
                <w:color w:val="auto"/>
                <w:kern w:val="0"/>
                <w:highlight w:val="none"/>
                <w:lang w:val="en-US" w:eastAsia="zh-CN"/>
              </w:rPr>
            </w:pPr>
            <w:r>
              <w:rPr>
                <w:rFonts w:hint="eastAsia" w:ascii="宋体" w:hAnsi="宋体"/>
                <w:b/>
                <w:color w:val="auto"/>
                <w:kern w:val="0"/>
                <w:highlight w:val="none"/>
                <w:lang w:val="en-US" w:eastAsia="zh-CN"/>
              </w:rPr>
              <w:t>年</w:t>
            </w:r>
          </w:p>
        </w:tc>
        <w:tc>
          <w:tcPr>
            <w:tcW w:w="360" w:type="pct"/>
            <w:vAlign w:val="center"/>
          </w:tcPr>
          <w:p w14:paraId="3C280464">
            <w:pPr>
              <w:widowControl/>
              <w:spacing w:line="360" w:lineRule="auto"/>
              <w:jc w:val="center"/>
              <w:rPr>
                <w:rFonts w:hint="eastAsia" w:ascii="宋体" w:hAnsi="宋体" w:eastAsiaTheme="minorEastAsia"/>
                <w:b/>
                <w:color w:val="auto"/>
                <w:kern w:val="0"/>
                <w:highlight w:val="none"/>
                <w:lang w:val="en-US" w:eastAsia="zh-CN"/>
              </w:rPr>
            </w:pPr>
            <w:r>
              <w:rPr>
                <w:rFonts w:hint="eastAsia" w:ascii="宋体" w:hAnsi="宋体"/>
                <w:b/>
                <w:color w:val="auto"/>
                <w:kern w:val="0"/>
                <w:highlight w:val="none"/>
                <w:lang w:val="en-US" w:eastAsia="zh-CN"/>
              </w:rPr>
              <w:t>1</w:t>
            </w:r>
          </w:p>
        </w:tc>
        <w:tc>
          <w:tcPr>
            <w:tcW w:w="577" w:type="pct"/>
            <w:vAlign w:val="center"/>
          </w:tcPr>
          <w:p w14:paraId="623CAE97">
            <w:pPr>
              <w:spacing w:line="360" w:lineRule="auto"/>
              <w:jc w:val="center"/>
              <w:rPr>
                <w:rFonts w:ascii="宋体" w:hAnsi="宋体"/>
                <w:b/>
                <w:color w:val="auto"/>
                <w:kern w:val="0"/>
                <w:highlight w:val="none"/>
              </w:rPr>
            </w:pPr>
          </w:p>
        </w:tc>
        <w:tc>
          <w:tcPr>
            <w:tcW w:w="656" w:type="pct"/>
            <w:vAlign w:val="center"/>
          </w:tcPr>
          <w:p w14:paraId="328DAD3D">
            <w:pPr>
              <w:spacing w:line="360" w:lineRule="auto"/>
              <w:jc w:val="left"/>
              <w:rPr>
                <w:rFonts w:ascii="宋体" w:hAnsi="宋体"/>
                <w:b/>
                <w:color w:val="auto"/>
                <w:kern w:val="0"/>
                <w:highlight w:val="none"/>
              </w:rPr>
            </w:pPr>
          </w:p>
        </w:tc>
        <w:tc>
          <w:tcPr>
            <w:tcW w:w="1697" w:type="pct"/>
            <w:vAlign w:val="center"/>
          </w:tcPr>
          <w:p w14:paraId="051BC709">
            <w:pPr>
              <w:spacing w:line="360" w:lineRule="auto"/>
              <w:jc w:val="left"/>
              <w:rPr>
                <w:rFonts w:hint="eastAsia" w:ascii="宋体" w:hAnsi="宋体" w:eastAsiaTheme="minorEastAsia" w:cstheme="minorBidi"/>
                <w:b/>
                <w:color w:val="auto"/>
                <w:kern w:val="0"/>
                <w:sz w:val="21"/>
                <w:szCs w:val="24"/>
                <w:highlight w:val="none"/>
                <w:lang w:val="en-US" w:eastAsia="zh-CN" w:bidi="ar-SA"/>
              </w:rPr>
            </w:pPr>
            <w:r>
              <w:rPr>
                <w:rFonts w:hint="eastAsia" w:ascii="宋体" w:hAnsi="宋体" w:cs="宋体"/>
                <w:color w:val="auto"/>
                <w:sz w:val="20"/>
                <w:szCs w:val="16"/>
                <w:highlight w:val="none"/>
                <w:lang w:val="en-US" w:eastAsia="zh-CN"/>
              </w:rPr>
              <w:t>以上</w:t>
            </w:r>
            <w:r>
              <w:rPr>
                <w:rFonts w:hint="eastAsia" w:ascii="宋体" w:hAnsi="宋体" w:eastAsia="宋体" w:cs="宋体"/>
                <w:color w:val="auto"/>
                <w:sz w:val="20"/>
                <w:szCs w:val="16"/>
                <w:highlight w:val="none"/>
              </w:rPr>
              <w:t>1至</w:t>
            </w:r>
            <w:r>
              <w:rPr>
                <w:rFonts w:hint="eastAsia" w:ascii="宋体" w:hAnsi="宋体" w:cs="宋体"/>
                <w:color w:val="auto"/>
                <w:sz w:val="20"/>
                <w:szCs w:val="16"/>
                <w:highlight w:val="none"/>
                <w:lang w:val="en-US" w:eastAsia="zh-CN"/>
              </w:rPr>
              <w:t>3项总</w:t>
            </w:r>
            <w:r>
              <w:rPr>
                <w:rFonts w:hint="eastAsia" w:ascii="宋体" w:hAnsi="宋体" w:eastAsia="宋体" w:cs="宋体"/>
                <w:color w:val="auto"/>
                <w:sz w:val="20"/>
                <w:szCs w:val="16"/>
                <w:highlight w:val="none"/>
              </w:rPr>
              <w:t>和的6.72%（各投标人填报的税率统一按照6.72%计算）</w:t>
            </w:r>
            <w:r>
              <w:rPr>
                <w:rFonts w:hint="eastAsia" w:ascii="宋体" w:hAnsi="宋体" w:eastAsia="宋体" w:cs="宋体"/>
                <w:color w:val="auto"/>
                <w:sz w:val="20"/>
                <w:szCs w:val="16"/>
                <w:highlight w:val="none"/>
                <w:lang w:eastAsia="zh-CN"/>
              </w:rPr>
              <w:t>。</w:t>
            </w:r>
          </w:p>
        </w:tc>
      </w:tr>
      <w:tr w14:paraId="77431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646" w:type="pct"/>
            <w:gridSpan w:val="5"/>
            <w:vAlign w:val="center"/>
          </w:tcPr>
          <w:p w14:paraId="0E1B5E52">
            <w:pPr>
              <w:widowControl/>
              <w:spacing w:line="360" w:lineRule="auto"/>
              <w:jc w:val="center"/>
              <w:rPr>
                <w:rFonts w:ascii="宋体" w:hAnsi="宋体"/>
                <w:b/>
                <w:color w:val="auto"/>
                <w:kern w:val="0"/>
                <w:highlight w:val="none"/>
              </w:rPr>
            </w:pPr>
            <w:r>
              <w:rPr>
                <w:rFonts w:hint="eastAsia" w:ascii="宋体" w:hAnsi="宋体"/>
                <w:b/>
                <w:color w:val="auto"/>
                <w:kern w:val="0"/>
                <w:highlight w:val="none"/>
              </w:rPr>
              <w:t>投标总报价</w:t>
            </w:r>
          </w:p>
        </w:tc>
        <w:tc>
          <w:tcPr>
            <w:tcW w:w="656" w:type="pct"/>
            <w:vAlign w:val="center"/>
          </w:tcPr>
          <w:p w14:paraId="31CE1506">
            <w:pPr>
              <w:widowControl/>
              <w:spacing w:line="360" w:lineRule="auto"/>
              <w:jc w:val="center"/>
              <w:rPr>
                <w:rFonts w:ascii="宋体" w:hAnsi="宋体"/>
                <w:color w:val="auto"/>
                <w:kern w:val="0"/>
                <w:highlight w:val="none"/>
              </w:rPr>
            </w:pPr>
          </w:p>
        </w:tc>
        <w:tc>
          <w:tcPr>
            <w:tcW w:w="1697" w:type="pct"/>
            <w:vAlign w:val="center"/>
          </w:tcPr>
          <w:p w14:paraId="42DB3417">
            <w:pPr>
              <w:widowControl/>
              <w:spacing w:line="360" w:lineRule="auto"/>
              <w:jc w:val="center"/>
              <w:rPr>
                <w:rFonts w:ascii="宋体" w:hAnsi="宋体"/>
                <w:color w:val="auto"/>
                <w:kern w:val="0"/>
                <w:highlight w:val="none"/>
              </w:rPr>
            </w:pPr>
            <w:r>
              <w:rPr>
                <w:rFonts w:hint="eastAsia" w:ascii="宋体" w:hAnsi="宋体" w:eastAsia="宋体" w:cs="Times New Roman"/>
                <w:b/>
                <w:bCs/>
                <w:color w:val="auto"/>
                <w:sz w:val="20"/>
                <w:szCs w:val="20"/>
                <w:highlight w:val="none"/>
              </w:rPr>
              <w:t>计算式：（1项+2项+</w:t>
            </w:r>
            <w:r>
              <w:rPr>
                <w:rFonts w:hint="eastAsia" w:ascii="宋体" w:hAnsi="宋体" w:eastAsia="宋体" w:cs="Times New Roman"/>
                <w:b/>
                <w:bCs/>
                <w:color w:val="auto"/>
                <w:sz w:val="20"/>
                <w:szCs w:val="20"/>
                <w:highlight w:val="none"/>
                <w:lang w:val="en-US" w:eastAsia="zh-CN"/>
              </w:rPr>
              <w:t>3项</w:t>
            </w:r>
            <w:r>
              <w:rPr>
                <w:rFonts w:hint="eastAsia" w:ascii="宋体" w:hAnsi="宋体" w:eastAsia="宋体" w:cs="Times New Roman"/>
                <w:b/>
                <w:bCs/>
                <w:color w:val="auto"/>
                <w:sz w:val="20"/>
                <w:szCs w:val="20"/>
                <w:highlight w:val="none"/>
              </w:rPr>
              <w:t>+</w:t>
            </w:r>
            <w:r>
              <w:rPr>
                <w:rFonts w:hint="eastAsia" w:ascii="宋体" w:hAnsi="宋体" w:cs="Times New Roman"/>
                <w:b/>
                <w:bCs/>
                <w:color w:val="auto"/>
                <w:sz w:val="20"/>
                <w:szCs w:val="20"/>
                <w:highlight w:val="none"/>
                <w:lang w:val="en-US" w:eastAsia="zh-CN"/>
              </w:rPr>
              <w:t>4</w:t>
            </w:r>
            <w:r>
              <w:rPr>
                <w:rFonts w:hint="eastAsia" w:ascii="宋体" w:hAnsi="宋体" w:eastAsia="宋体" w:cs="Times New Roman"/>
                <w:b/>
                <w:bCs/>
                <w:color w:val="auto"/>
                <w:sz w:val="20"/>
                <w:szCs w:val="20"/>
                <w:highlight w:val="none"/>
              </w:rPr>
              <w:t>项）</w:t>
            </w:r>
          </w:p>
        </w:tc>
      </w:tr>
    </w:tbl>
    <w:p w14:paraId="41C2B153">
      <w:pPr>
        <w:pStyle w:val="20"/>
        <w:spacing w:line="360" w:lineRule="auto"/>
        <w:jc w:val="center"/>
        <w:rPr>
          <w:rFonts w:hint="eastAsia" w:hAnsi="宋体" w:eastAsia="宋体"/>
          <w:color w:val="auto"/>
          <w:sz w:val="21"/>
          <w:highlight w:val="none"/>
        </w:rPr>
      </w:pPr>
    </w:p>
    <w:p w14:paraId="30079700">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left="-735" w:leftChars="-350" w:right="-735" w:rightChars="-350" w:firstLine="480" w:firstLineChars="200"/>
        <w:jc w:val="left"/>
        <w:textAlignment w:val="auto"/>
        <w:rPr>
          <w:rFonts w:hint="eastAsia" w:hAnsi="宋体" w:cs="宋体"/>
          <w:color w:val="auto"/>
          <w:szCs w:val="21"/>
          <w:highlight w:val="none"/>
        </w:rPr>
      </w:pPr>
      <w:r>
        <w:rPr>
          <w:rFonts w:hint="eastAsia" w:hAnsi="宋体" w:cs="宋体"/>
          <w:color w:val="auto"/>
          <w:szCs w:val="21"/>
          <w:highlight w:val="none"/>
        </w:rPr>
        <w:t>投标人</w:t>
      </w:r>
      <w:r>
        <w:rPr>
          <w:rFonts w:hint="eastAsia" w:hAnsi="宋体" w:cs="宋体"/>
          <w:color w:val="auto"/>
          <w:szCs w:val="21"/>
          <w:highlight w:val="none"/>
          <w:lang w:val="zh-CN"/>
        </w:rPr>
        <w:t>所提供人员的费用不得低于上述标准进行测算，</w:t>
      </w:r>
      <w:r>
        <w:rPr>
          <w:rFonts w:hint="eastAsia" w:hAnsi="宋体" w:cs="宋体"/>
          <w:color w:val="auto"/>
          <w:szCs w:val="21"/>
          <w:highlight w:val="none"/>
        </w:rPr>
        <w:t>否则</w:t>
      </w:r>
      <w:r>
        <w:rPr>
          <w:rFonts w:hint="eastAsia" w:hAnsi="宋体" w:cs="宋体"/>
          <w:color w:val="auto"/>
          <w:szCs w:val="21"/>
          <w:highlight w:val="none"/>
          <w:lang w:val="zh-CN"/>
        </w:rPr>
        <w:t>视为未实质性响应招标文件要求</w:t>
      </w:r>
      <w:r>
        <w:rPr>
          <w:rFonts w:hint="eastAsia" w:hAnsi="宋体" w:cs="宋体"/>
          <w:color w:val="auto"/>
          <w:szCs w:val="21"/>
          <w:highlight w:val="none"/>
        </w:rPr>
        <w:t>。如果招标公告发布之后开标前遇政府调整职工最低工资标准或社会保险缴纳基数，评标委员会进行符合性审查时可仍按上述标准审查，中标后，中标人应按照最新政策文件规定执行。</w:t>
      </w:r>
    </w:p>
    <w:p w14:paraId="49B2EC56">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r>
    </w:p>
    <w:p w14:paraId="7C6FF856">
      <w:pPr>
        <w:pStyle w:val="13"/>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二</w:t>
      </w:r>
      <w:r>
        <w:rPr>
          <w:rFonts w:hint="eastAsia" w:ascii="黑体" w:hAnsi="宋体" w:eastAsia="黑体" w:cs="黑体"/>
          <w:b/>
          <w:color w:val="auto"/>
          <w:sz w:val="32"/>
          <w:szCs w:val="32"/>
          <w:highlight w:val="none"/>
        </w:rPr>
        <w:t>、技术要求响应及偏离表</w:t>
      </w:r>
    </w:p>
    <w:tbl>
      <w:tblPr>
        <w:tblStyle w:val="16"/>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03E7ADFF">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1EF36">
            <w:pPr>
              <w:pStyle w:val="13"/>
              <w:spacing w:beforeAutospacing="0" w:afterAutospacing="0"/>
              <w:jc w:val="center"/>
              <w:rPr>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8DF2B">
            <w:pPr>
              <w:pStyle w:val="13"/>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C8AAF">
            <w:pPr>
              <w:pStyle w:val="13"/>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D9768">
            <w:pPr>
              <w:pStyle w:val="13"/>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67213">
            <w:pPr>
              <w:pStyle w:val="13"/>
              <w:spacing w:beforeAutospacing="0" w:afterAutospacing="0"/>
              <w:jc w:val="center"/>
              <w:rPr>
                <w:color w:val="auto"/>
                <w:highlight w:val="none"/>
              </w:rPr>
            </w:pPr>
            <w:r>
              <w:rPr>
                <w:rFonts w:hint="eastAsia" w:ascii="宋体" w:hAnsi="宋体" w:eastAsia="宋体" w:cs="宋体"/>
                <w:color w:val="auto"/>
                <w:highlight w:val="none"/>
              </w:rPr>
              <w:t>证明</w:t>
            </w:r>
          </w:p>
          <w:p w14:paraId="15D24F31">
            <w:pPr>
              <w:pStyle w:val="13"/>
              <w:spacing w:beforeAutospacing="0" w:afterAutospacing="0"/>
              <w:jc w:val="center"/>
              <w:rPr>
                <w:color w:val="auto"/>
                <w:highlight w:val="none"/>
              </w:rPr>
            </w:pPr>
            <w:r>
              <w:rPr>
                <w:rFonts w:hint="eastAsia" w:ascii="宋体" w:hAnsi="宋体" w:eastAsia="宋体" w:cs="宋体"/>
                <w:color w:val="auto"/>
                <w:highlight w:val="none"/>
              </w:rPr>
              <w:t>材料</w:t>
            </w:r>
          </w:p>
        </w:tc>
      </w:tr>
      <w:tr w14:paraId="649FEBA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28AE5">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52988">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50966">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95864">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ED9CC">
            <w:pPr>
              <w:pStyle w:val="13"/>
              <w:spacing w:beforeAutospacing="0" w:afterAutospacing="0"/>
              <w:jc w:val="center"/>
              <w:rPr>
                <w:color w:val="auto"/>
                <w:highlight w:val="none"/>
              </w:rPr>
            </w:pPr>
            <w:r>
              <w:rPr>
                <w:color w:val="auto"/>
                <w:highlight w:val="none"/>
              </w:rPr>
              <w:t> </w:t>
            </w:r>
          </w:p>
        </w:tc>
      </w:tr>
      <w:tr w14:paraId="34414CD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917B9">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5011F">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13951">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FBCFD">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1620D">
            <w:pPr>
              <w:pStyle w:val="13"/>
              <w:spacing w:beforeAutospacing="0" w:afterAutospacing="0"/>
              <w:jc w:val="center"/>
              <w:rPr>
                <w:color w:val="auto"/>
                <w:highlight w:val="none"/>
              </w:rPr>
            </w:pPr>
            <w:r>
              <w:rPr>
                <w:color w:val="auto"/>
                <w:highlight w:val="none"/>
              </w:rPr>
              <w:t> </w:t>
            </w:r>
          </w:p>
        </w:tc>
      </w:tr>
      <w:tr w14:paraId="6C78A84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47624">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7C870">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483A6">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22346">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87E28">
            <w:pPr>
              <w:pStyle w:val="13"/>
              <w:spacing w:beforeAutospacing="0" w:afterAutospacing="0"/>
              <w:jc w:val="center"/>
              <w:rPr>
                <w:color w:val="auto"/>
                <w:highlight w:val="none"/>
              </w:rPr>
            </w:pPr>
            <w:r>
              <w:rPr>
                <w:color w:val="auto"/>
                <w:highlight w:val="none"/>
              </w:rPr>
              <w:t> </w:t>
            </w:r>
          </w:p>
        </w:tc>
      </w:tr>
      <w:tr w14:paraId="1673AA7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5FCCB">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E6F79">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36E99">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A958D">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E78C3">
            <w:pPr>
              <w:pStyle w:val="13"/>
              <w:spacing w:beforeAutospacing="0" w:afterAutospacing="0"/>
              <w:jc w:val="center"/>
              <w:rPr>
                <w:color w:val="auto"/>
                <w:highlight w:val="none"/>
              </w:rPr>
            </w:pPr>
            <w:r>
              <w:rPr>
                <w:color w:val="auto"/>
                <w:highlight w:val="none"/>
              </w:rPr>
              <w:t> </w:t>
            </w:r>
          </w:p>
        </w:tc>
      </w:tr>
      <w:tr w14:paraId="78AF3C9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EDF73">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CAA48">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DB769">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98E14">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72323">
            <w:pPr>
              <w:pStyle w:val="13"/>
              <w:spacing w:beforeAutospacing="0" w:afterAutospacing="0"/>
              <w:jc w:val="center"/>
              <w:rPr>
                <w:color w:val="auto"/>
                <w:highlight w:val="none"/>
              </w:rPr>
            </w:pPr>
            <w:r>
              <w:rPr>
                <w:color w:val="auto"/>
                <w:highlight w:val="none"/>
              </w:rPr>
              <w:t> </w:t>
            </w:r>
          </w:p>
        </w:tc>
      </w:tr>
      <w:tr w14:paraId="1347E9E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C0527">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F0DF9">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EAF01">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9C454">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320E0">
            <w:pPr>
              <w:pStyle w:val="13"/>
              <w:spacing w:beforeAutospacing="0" w:afterAutospacing="0"/>
              <w:jc w:val="center"/>
              <w:rPr>
                <w:color w:val="auto"/>
                <w:highlight w:val="none"/>
              </w:rPr>
            </w:pPr>
            <w:r>
              <w:rPr>
                <w:color w:val="auto"/>
                <w:highlight w:val="none"/>
              </w:rPr>
              <w:t> </w:t>
            </w:r>
          </w:p>
        </w:tc>
      </w:tr>
      <w:tr w14:paraId="26D6476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3759A">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F4B02">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ABF04">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4F02A">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F3D3B">
            <w:pPr>
              <w:pStyle w:val="13"/>
              <w:spacing w:beforeAutospacing="0" w:afterAutospacing="0"/>
              <w:jc w:val="center"/>
              <w:rPr>
                <w:color w:val="auto"/>
                <w:highlight w:val="none"/>
              </w:rPr>
            </w:pPr>
            <w:r>
              <w:rPr>
                <w:color w:val="auto"/>
                <w:highlight w:val="none"/>
              </w:rPr>
              <w:t> </w:t>
            </w:r>
          </w:p>
        </w:tc>
      </w:tr>
      <w:tr w14:paraId="18EAA3D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3BD94">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D72E4">
            <w:pPr>
              <w:pStyle w:val="13"/>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3F983">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1BCBA">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6A3A0">
            <w:pPr>
              <w:pStyle w:val="13"/>
              <w:spacing w:beforeAutospacing="0" w:afterAutospacing="0"/>
              <w:jc w:val="center"/>
              <w:rPr>
                <w:color w:val="auto"/>
                <w:highlight w:val="none"/>
              </w:rPr>
            </w:pPr>
            <w:r>
              <w:rPr>
                <w:color w:val="auto"/>
                <w:highlight w:val="none"/>
              </w:rPr>
              <w:t> </w:t>
            </w:r>
          </w:p>
        </w:tc>
      </w:tr>
    </w:tbl>
    <w:p w14:paraId="1B5791B4">
      <w:pPr>
        <w:pStyle w:val="13"/>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0FED5EC2">
      <w:pPr>
        <w:pStyle w:val="13"/>
        <w:spacing w:beforeAutospacing="0" w:afterAutospacing="0"/>
        <w:jc w:val="center"/>
        <w:rPr>
          <w:color w:val="auto"/>
          <w:highlight w:val="none"/>
        </w:rPr>
      </w:pPr>
      <w:r>
        <w:rPr>
          <w:color w:val="auto"/>
          <w:highlight w:val="none"/>
        </w:rPr>
        <w:t> </w:t>
      </w:r>
    </w:p>
    <w:p w14:paraId="3154A54A">
      <w:pPr>
        <w:pStyle w:val="13"/>
        <w:spacing w:beforeAutospacing="0" w:afterAutospacing="0"/>
        <w:jc w:val="center"/>
        <w:rPr>
          <w:color w:val="auto"/>
          <w:highlight w:val="none"/>
        </w:rPr>
      </w:pPr>
      <w:r>
        <w:rPr>
          <w:color w:val="auto"/>
          <w:highlight w:val="none"/>
        </w:rPr>
        <w:t> </w:t>
      </w:r>
    </w:p>
    <w:p w14:paraId="27DCF6EA">
      <w:pPr>
        <w:pStyle w:val="13"/>
        <w:spacing w:beforeAutospacing="0" w:afterAutospacing="0"/>
        <w:jc w:val="center"/>
        <w:rPr>
          <w:color w:val="auto"/>
          <w:highlight w:val="none"/>
        </w:rPr>
      </w:pPr>
      <w:r>
        <w:rPr>
          <w:color w:val="auto"/>
          <w:highlight w:val="none"/>
        </w:rPr>
        <w:t> </w:t>
      </w:r>
    </w:p>
    <w:p w14:paraId="0E391D77">
      <w:pPr>
        <w:pStyle w:val="13"/>
        <w:spacing w:beforeAutospacing="0" w:afterAutospacing="0"/>
        <w:jc w:val="center"/>
        <w:rPr>
          <w:color w:val="auto"/>
          <w:highlight w:val="none"/>
        </w:rPr>
      </w:pPr>
      <w:r>
        <w:rPr>
          <w:color w:val="auto"/>
          <w:highlight w:val="none"/>
        </w:rPr>
        <w:t> </w:t>
      </w:r>
    </w:p>
    <w:p w14:paraId="70AC29E3">
      <w:pPr>
        <w:pStyle w:val="13"/>
        <w:spacing w:beforeAutospacing="0" w:afterAutospacing="0"/>
        <w:jc w:val="both"/>
        <w:rPr>
          <w:color w:val="auto"/>
          <w:highlight w:val="none"/>
        </w:rPr>
      </w:pPr>
      <w:r>
        <w:rPr>
          <w:color w:val="auto"/>
          <w:highlight w:val="none"/>
        </w:rPr>
        <w:t> </w:t>
      </w:r>
    </w:p>
    <w:p w14:paraId="0D5D9037">
      <w:pPr>
        <w:pStyle w:val="13"/>
        <w:spacing w:beforeAutospacing="0" w:afterAutospacing="0"/>
        <w:jc w:val="both"/>
        <w:rPr>
          <w:color w:val="auto"/>
          <w:highlight w:val="none"/>
        </w:rPr>
      </w:pPr>
      <w:r>
        <w:rPr>
          <w:color w:val="auto"/>
          <w:highlight w:val="none"/>
        </w:rPr>
        <w:t> </w:t>
      </w:r>
    </w:p>
    <w:p w14:paraId="7806FECD">
      <w:pPr>
        <w:pStyle w:val="13"/>
        <w:spacing w:beforeAutospacing="0" w:afterAutospacing="0"/>
        <w:jc w:val="both"/>
        <w:rPr>
          <w:color w:val="auto"/>
          <w:highlight w:val="none"/>
        </w:rPr>
      </w:pPr>
      <w:r>
        <w:rPr>
          <w:color w:val="auto"/>
          <w:highlight w:val="none"/>
        </w:rPr>
        <w:t> </w:t>
      </w:r>
    </w:p>
    <w:p w14:paraId="173FD20A">
      <w:pPr>
        <w:pStyle w:val="13"/>
        <w:spacing w:beforeAutospacing="0" w:afterAutospacing="0"/>
        <w:jc w:val="both"/>
        <w:rPr>
          <w:color w:val="auto"/>
          <w:highlight w:val="none"/>
        </w:rPr>
      </w:pPr>
      <w:r>
        <w:rPr>
          <w:color w:val="auto"/>
          <w:highlight w:val="none"/>
        </w:rPr>
        <w:t> </w:t>
      </w:r>
    </w:p>
    <w:p w14:paraId="256D2D22">
      <w:pPr>
        <w:pStyle w:val="13"/>
        <w:spacing w:beforeAutospacing="0" w:afterAutospacing="0"/>
        <w:jc w:val="both"/>
        <w:rPr>
          <w:color w:val="auto"/>
          <w:highlight w:val="none"/>
        </w:rPr>
      </w:pPr>
    </w:p>
    <w:p w14:paraId="287B4125">
      <w:pPr>
        <w:pStyle w:val="13"/>
        <w:spacing w:beforeAutospacing="0" w:afterAutospacing="0"/>
        <w:jc w:val="both"/>
        <w:rPr>
          <w:color w:val="auto"/>
          <w:highlight w:val="none"/>
        </w:rPr>
      </w:pPr>
    </w:p>
    <w:p w14:paraId="5463312E">
      <w:pPr>
        <w:pStyle w:val="13"/>
        <w:spacing w:beforeAutospacing="0" w:afterAutospacing="0"/>
        <w:jc w:val="both"/>
        <w:rPr>
          <w:color w:val="auto"/>
          <w:highlight w:val="none"/>
        </w:rPr>
      </w:pPr>
    </w:p>
    <w:p w14:paraId="49436E4B">
      <w:pPr>
        <w:pStyle w:val="13"/>
        <w:spacing w:beforeAutospacing="0" w:afterAutospacing="0"/>
        <w:jc w:val="both"/>
        <w:rPr>
          <w:color w:val="auto"/>
          <w:highlight w:val="none"/>
        </w:rPr>
      </w:pPr>
    </w:p>
    <w:p w14:paraId="5CCAFE7B">
      <w:pPr>
        <w:pStyle w:val="13"/>
        <w:spacing w:beforeAutospacing="0" w:afterAutospacing="0"/>
        <w:jc w:val="both"/>
        <w:rPr>
          <w:color w:val="auto"/>
          <w:highlight w:val="none"/>
        </w:rPr>
      </w:pPr>
    </w:p>
    <w:p w14:paraId="42E6F870">
      <w:pPr>
        <w:pStyle w:val="13"/>
        <w:spacing w:beforeAutospacing="0" w:afterAutospacing="0"/>
        <w:jc w:val="both"/>
        <w:rPr>
          <w:color w:val="auto"/>
          <w:highlight w:val="none"/>
        </w:rPr>
      </w:pPr>
    </w:p>
    <w:p w14:paraId="1078122E">
      <w:pPr>
        <w:pStyle w:val="13"/>
        <w:spacing w:beforeAutospacing="0" w:afterAutospacing="0"/>
        <w:jc w:val="both"/>
        <w:rPr>
          <w:color w:val="auto"/>
          <w:highlight w:val="none"/>
        </w:rPr>
      </w:pPr>
    </w:p>
    <w:p w14:paraId="5817F764">
      <w:pPr>
        <w:pStyle w:val="13"/>
        <w:spacing w:beforeAutospacing="0" w:afterAutospacing="0"/>
        <w:jc w:val="both"/>
        <w:rPr>
          <w:color w:val="auto"/>
          <w:highlight w:val="none"/>
        </w:rPr>
      </w:pPr>
    </w:p>
    <w:p w14:paraId="1C091852">
      <w:pPr>
        <w:pStyle w:val="13"/>
        <w:spacing w:beforeAutospacing="0" w:afterAutospacing="0"/>
        <w:jc w:val="both"/>
        <w:rPr>
          <w:color w:val="auto"/>
          <w:highlight w:val="none"/>
        </w:rPr>
      </w:pPr>
    </w:p>
    <w:p w14:paraId="214ECEE3">
      <w:pPr>
        <w:pStyle w:val="13"/>
        <w:spacing w:beforeAutospacing="0" w:afterAutospacing="0"/>
        <w:jc w:val="both"/>
        <w:rPr>
          <w:color w:val="auto"/>
          <w:highlight w:val="none"/>
        </w:rPr>
      </w:pPr>
    </w:p>
    <w:p w14:paraId="5D4F7AA9">
      <w:pPr>
        <w:pStyle w:val="13"/>
        <w:spacing w:beforeAutospacing="0" w:afterAutospacing="0"/>
        <w:jc w:val="both"/>
        <w:rPr>
          <w:color w:val="auto"/>
          <w:highlight w:val="none"/>
        </w:rPr>
      </w:pPr>
    </w:p>
    <w:p w14:paraId="234C4138">
      <w:pPr>
        <w:pStyle w:val="13"/>
        <w:spacing w:beforeAutospacing="0" w:afterAutospacing="0"/>
        <w:jc w:val="both"/>
        <w:rPr>
          <w:color w:val="auto"/>
          <w:highlight w:val="none"/>
        </w:rPr>
      </w:pPr>
    </w:p>
    <w:p w14:paraId="2DD23872">
      <w:pPr>
        <w:pStyle w:val="13"/>
        <w:spacing w:beforeAutospacing="0" w:afterAutospacing="0"/>
        <w:jc w:val="both"/>
        <w:rPr>
          <w:color w:val="auto"/>
          <w:highlight w:val="none"/>
        </w:rPr>
      </w:pPr>
    </w:p>
    <w:p w14:paraId="485302C8">
      <w:pPr>
        <w:pStyle w:val="13"/>
        <w:spacing w:beforeAutospacing="0" w:afterAutospacing="0"/>
        <w:jc w:val="both"/>
        <w:rPr>
          <w:color w:val="auto"/>
          <w:highlight w:val="none"/>
        </w:rPr>
      </w:pPr>
      <w:r>
        <w:rPr>
          <w:color w:val="auto"/>
          <w:highlight w:val="none"/>
        </w:rPr>
        <w:t> </w:t>
      </w:r>
    </w:p>
    <w:p w14:paraId="0777E23F">
      <w:pPr>
        <w:pStyle w:val="13"/>
        <w:spacing w:beforeAutospacing="0" w:afterAutospacing="0"/>
        <w:jc w:val="center"/>
        <w:rPr>
          <w:color w:val="auto"/>
          <w:highlight w:val="none"/>
        </w:rPr>
      </w:pPr>
      <w:bookmarkStart w:id="197" w:name="_Hlt26955054"/>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三</w:t>
      </w:r>
      <w:r>
        <w:rPr>
          <w:rFonts w:hint="eastAsia" w:ascii="黑体" w:hAnsi="宋体" w:eastAsia="黑体" w:cs="黑体"/>
          <w:b/>
          <w:color w:val="auto"/>
          <w:sz w:val="32"/>
          <w:szCs w:val="32"/>
          <w:highlight w:val="none"/>
        </w:rPr>
        <w:t>、商务要求响应及偏离表</w:t>
      </w:r>
    </w:p>
    <w:tbl>
      <w:tblPr>
        <w:tblStyle w:val="16"/>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08B5EFB8">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B135F">
            <w:pPr>
              <w:pStyle w:val="13"/>
              <w:spacing w:beforeAutospacing="0" w:afterAutospacing="0"/>
              <w:jc w:val="center"/>
              <w:rPr>
                <w:color w:val="auto"/>
                <w:highlight w:val="none"/>
              </w:rPr>
            </w:pPr>
            <w:bookmarkStart w:id="198" w:name="_Hlt26580838"/>
            <w:bookmarkStart w:id="199" w:name="_Hlt26671343"/>
            <w:bookmarkStart w:id="200" w:name="_Hlt26671372"/>
            <w:bookmarkStart w:id="201" w:name="_Hlt26609391"/>
            <w:bookmarkStart w:id="202" w:name="_Hlt24879081"/>
            <w:bookmarkStart w:id="203" w:name="_Hlt26955056"/>
            <w:bookmarkStart w:id="204" w:name="_Hlt26955064"/>
            <w:bookmarkStart w:id="205" w:name="_Hlt26782999"/>
            <w:r>
              <w:rPr>
                <w:rFonts w:hint="eastAsia" w:ascii="宋体" w:hAnsi="宋体" w:eastAsia="宋体" w:cs="宋体"/>
                <w:color w:val="auto"/>
                <w:highlight w:val="none"/>
              </w:rPr>
              <w:t>序号</w:t>
            </w:r>
          </w:p>
          <w:bookmarkEnd w:id="198"/>
          <w:bookmarkEnd w:id="199"/>
          <w:bookmarkEnd w:id="200"/>
          <w:bookmarkEnd w:id="201"/>
          <w:bookmarkEnd w:id="202"/>
          <w:bookmarkEnd w:id="203"/>
          <w:bookmarkEnd w:id="204"/>
          <w:bookmarkEnd w:id="205"/>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6C7E4">
            <w:pPr>
              <w:pStyle w:val="13"/>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69489">
            <w:pPr>
              <w:pStyle w:val="13"/>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81CCC">
            <w:pPr>
              <w:pStyle w:val="13"/>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E50CF">
            <w:pPr>
              <w:pStyle w:val="13"/>
              <w:spacing w:beforeAutospacing="0" w:afterAutospacing="0"/>
              <w:jc w:val="center"/>
              <w:rPr>
                <w:color w:val="auto"/>
                <w:highlight w:val="none"/>
              </w:rPr>
            </w:pPr>
            <w:r>
              <w:rPr>
                <w:rFonts w:hint="eastAsia" w:ascii="宋体" w:hAnsi="宋体" w:eastAsia="宋体" w:cs="宋体"/>
                <w:color w:val="auto"/>
                <w:highlight w:val="none"/>
              </w:rPr>
              <w:t>证明</w:t>
            </w:r>
          </w:p>
          <w:p w14:paraId="5C403C0F">
            <w:pPr>
              <w:pStyle w:val="13"/>
              <w:spacing w:beforeAutospacing="0" w:afterAutospacing="0"/>
              <w:jc w:val="center"/>
              <w:rPr>
                <w:color w:val="auto"/>
                <w:highlight w:val="none"/>
              </w:rPr>
            </w:pPr>
            <w:r>
              <w:rPr>
                <w:rFonts w:hint="eastAsia" w:ascii="宋体" w:hAnsi="宋体" w:eastAsia="宋体" w:cs="宋体"/>
                <w:color w:val="auto"/>
                <w:highlight w:val="none"/>
              </w:rPr>
              <w:t>材料</w:t>
            </w:r>
          </w:p>
        </w:tc>
      </w:tr>
      <w:tr w14:paraId="63A4166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7B3FD">
            <w:pPr>
              <w:pStyle w:val="13"/>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1ED68">
            <w:pPr>
              <w:pStyle w:val="13"/>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5F679">
            <w:pPr>
              <w:pStyle w:val="13"/>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E9B29">
            <w:pPr>
              <w:pStyle w:val="13"/>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B857F">
            <w:pPr>
              <w:pStyle w:val="13"/>
              <w:spacing w:beforeAutospacing="0" w:afterAutospacing="0"/>
              <w:jc w:val="center"/>
              <w:rPr>
                <w:color w:val="auto"/>
                <w:highlight w:val="none"/>
              </w:rPr>
            </w:pPr>
            <w:r>
              <w:rPr>
                <w:color w:val="auto"/>
                <w:highlight w:val="none"/>
              </w:rPr>
              <w:t> </w:t>
            </w:r>
          </w:p>
        </w:tc>
      </w:tr>
      <w:tr w14:paraId="4EF9556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1C357">
            <w:pPr>
              <w:pStyle w:val="13"/>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E95C0">
            <w:pPr>
              <w:pStyle w:val="13"/>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E38FB">
            <w:pPr>
              <w:pStyle w:val="13"/>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F228C">
            <w:pPr>
              <w:pStyle w:val="13"/>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4C078">
            <w:pPr>
              <w:pStyle w:val="13"/>
              <w:spacing w:beforeAutospacing="0" w:afterAutospacing="0"/>
              <w:jc w:val="center"/>
              <w:rPr>
                <w:color w:val="auto"/>
                <w:highlight w:val="none"/>
              </w:rPr>
            </w:pPr>
            <w:r>
              <w:rPr>
                <w:color w:val="auto"/>
                <w:highlight w:val="none"/>
              </w:rPr>
              <w:t> </w:t>
            </w:r>
          </w:p>
        </w:tc>
      </w:tr>
      <w:tr w14:paraId="13D74BB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2D78E">
            <w:pPr>
              <w:pStyle w:val="13"/>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21D7A">
            <w:pPr>
              <w:pStyle w:val="13"/>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BCA91">
            <w:pPr>
              <w:pStyle w:val="13"/>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8DE64">
            <w:pPr>
              <w:pStyle w:val="13"/>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7AC29">
            <w:pPr>
              <w:pStyle w:val="13"/>
              <w:spacing w:beforeAutospacing="0" w:afterAutospacing="0"/>
              <w:jc w:val="center"/>
              <w:rPr>
                <w:color w:val="auto"/>
                <w:highlight w:val="none"/>
              </w:rPr>
            </w:pPr>
            <w:r>
              <w:rPr>
                <w:color w:val="auto"/>
                <w:highlight w:val="none"/>
              </w:rPr>
              <w:t> </w:t>
            </w:r>
          </w:p>
        </w:tc>
      </w:tr>
      <w:tr w14:paraId="32E9B7B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1FA05">
            <w:pPr>
              <w:pStyle w:val="13"/>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42056">
            <w:pPr>
              <w:pStyle w:val="13"/>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48BF5">
            <w:pPr>
              <w:pStyle w:val="13"/>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0F012">
            <w:pPr>
              <w:pStyle w:val="13"/>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153CC">
            <w:pPr>
              <w:pStyle w:val="13"/>
              <w:spacing w:beforeAutospacing="0" w:afterAutospacing="0"/>
              <w:jc w:val="center"/>
              <w:rPr>
                <w:color w:val="auto"/>
                <w:highlight w:val="none"/>
              </w:rPr>
            </w:pPr>
            <w:r>
              <w:rPr>
                <w:color w:val="auto"/>
                <w:highlight w:val="none"/>
              </w:rPr>
              <w:t> </w:t>
            </w:r>
          </w:p>
        </w:tc>
      </w:tr>
      <w:tr w14:paraId="4B2717D8">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7F8DE">
            <w:pPr>
              <w:pStyle w:val="13"/>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57AFD">
            <w:pPr>
              <w:pStyle w:val="13"/>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A8D3A">
            <w:pPr>
              <w:pStyle w:val="13"/>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513F5">
            <w:pPr>
              <w:pStyle w:val="13"/>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241C0">
            <w:pPr>
              <w:pStyle w:val="13"/>
              <w:spacing w:beforeAutospacing="0" w:afterAutospacing="0"/>
              <w:jc w:val="center"/>
              <w:rPr>
                <w:color w:val="auto"/>
                <w:highlight w:val="none"/>
              </w:rPr>
            </w:pPr>
            <w:r>
              <w:rPr>
                <w:color w:val="auto"/>
                <w:highlight w:val="none"/>
              </w:rPr>
              <w:t> </w:t>
            </w:r>
          </w:p>
        </w:tc>
      </w:tr>
      <w:tr w14:paraId="0519FFB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A4CE4">
            <w:pPr>
              <w:pStyle w:val="13"/>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3E558">
            <w:pPr>
              <w:pStyle w:val="13"/>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72B08">
            <w:pPr>
              <w:pStyle w:val="13"/>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F5343">
            <w:pPr>
              <w:pStyle w:val="13"/>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BEC0E">
            <w:pPr>
              <w:pStyle w:val="13"/>
              <w:spacing w:beforeAutospacing="0" w:afterAutospacing="0"/>
              <w:jc w:val="center"/>
              <w:rPr>
                <w:color w:val="auto"/>
                <w:highlight w:val="none"/>
              </w:rPr>
            </w:pPr>
            <w:r>
              <w:rPr>
                <w:color w:val="auto"/>
                <w:highlight w:val="none"/>
              </w:rPr>
              <w:t> </w:t>
            </w:r>
          </w:p>
        </w:tc>
      </w:tr>
      <w:tr w14:paraId="621244C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6128D">
            <w:pPr>
              <w:pStyle w:val="13"/>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63ADC">
            <w:pPr>
              <w:pStyle w:val="13"/>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E37A1">
            <w:pPr>
              <w:pStyle w:val="13"/>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F4D3A">
            <w:pPr>
              <w:pStyle w:val="13"/>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26281">
            <w:pPr>
              <w:pStyle w:val="13"/>
              <w:spacing w:beforeAutospacing="0" w:afterAutospacing="0"/>
              <w:jc w:val="center"/>
              <w:rPr>
                <w:color w:val="auto"/>
                <w:highlight w:val="none"/>
              </w:rPr>
            </w:pPr>
            <w:r>
              <w:rPr>
                <w:color w:val="auto"/>
                <w:highlight w:val="none"/>
              </w:rPr>
              <w:t> </w:t>
            </w:r>
          </w:p>
        </w:tc>
      </w:tr>
      <w:tr w14:paraId="5669B8AB">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B7FA1">
            <w:pPr>
              <w:pStyle w:val="13"/>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CC3FE">
            <w:pPr>
              <w:pStyle w:val="13"/>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00842">
            <w:pPr>
              <w:pStyle w:val="13"/>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C0E41">
            <w:pPr>
              <w:pStyle w:val="13"/>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6CAE1">
            <w:pPr>
              <w:pStyle w:val="13"/>
              <w:spacing w:beforeAutospacing="0" w:afterAutospacing="0"/>
              <w:jc w:val="center"/>
              <w:rPr>
                <w:color w:val="auto"/>
                <w:highlight w:val="none"/>
              </w:rPr>
            </w:pPr>
            <w:r>
              <w:rPr>
                <w:color w:val="auto"/>
                <w:highlight w:val="none"/>
              </w:rPr>
              <w:t> </w:t>
            </w:r>
          </w:p>
        </w:tc>
      </w:tr>
    </w:tbl>
    <w:p w14:paraId="2A7875C8">
      <w:pPr>
        <w:pStyle w:val="13"/>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0189D6BF">
      <w:pPr>
        <w:pStyle w:val="13"/>
        <w:spacing w:beforeAutospacing="0" w:afterAutospacing="0" w:line="480" w:lineRule="auto"/>
        <w:jc w:val="both"/>
        <w:rPr>
          <w:color w:val="auto"/>
          <w:highlight w:val="none"/>
        </w:rPr>
      </w:pPr>
      <w:r>
        <w:rPr>
          <w:color w:val="auto"/>
          <w:highlight w:val="none"/>
        </w:rPr>
        <w:t> </w:t>
      </w:r>
    </w:p>
    <w:p w14:paraId="47B8885B">
      <w:pPr>
        <w:pStyle w:val="13"/>
        <w:spacing w:beforeAutospacing="0" w:afterAutospacing="0" w:line="480" w:lineRule="auto"/>
        <w:jc w:val="both"/>
        <w:rPr>
          <w:color w:val="auto"/>
          <w:highlight w:val="none"/>
        </w:rPr>
      </w:pPr>
      <w:r>
        <w:rPr>
          <w:color w:val="auto"/>
          <w:highlight w:val="none"/>
        </w:rPr>
        <w:t> </w:t>
      </w:r>
    </w:p>
    <w:p w14:paraId="4FDC7C44">
      <w:pPr>
        <w:pStyle w:val="13"/>
        <w:spacing w:beforeAutospacing="0" w:afterAutospacing="0"/>
        <w:jc w:val="center"/>
        <w:rPr>
          <w:color w:val="auto"/>
          <w:highlight w:val="none"/>
        </w:rPr>
      </w:pPr>
      <w:bookmarkStart w:id="206" w:name="_格式2__法定代表人授权书"/>
      <w:bookmarkStart w:id="207" w:name="_Hlt26609389"/>
      <w:bookmarkStart w:id="208" w:name="_Toc462564146"/>
      <w:bookmarkStart w:id="209" w:name="_Hlt26671374"/>
      <w:bookmarkStart w:id="210" w:name="_Hlt26955066"/>
      <w:r>
        <w:rPr>
          <w:color w:val="auto"/>
          <w:highlight w:val="none"/>
        </w:rPr>
        <w:t> </w:t>
      </w:r>
    </w:p>
    <w:p w14:paraId="7DFC7EF3">
      <w:pPr>
        <w:pStyle w:val="13"/>
        <w:spacing w:beforeAutospacing="0" w:afterAutospacing="0"/>
        <w:jc w:val="both"/>
        <w:rPr>
          <w:color w:val="auto"/>
          <w:highlight w:val="none"/>
        </w:rPr>
      </w:pPr>
      <w:r>
        <w:rPr>
          <w:color w:val="auto"/>
          <w:highlight w:val="none"/>
        </w:rPr>
        <w:t> </w:t>
      </w:r>
    </w:p>
    <w:p w14:paraId="4627F219">
      <w:pPr>
        <w:pStyle w:val="13"/>
        <w:spacing w:beforeAutospacing="0" w:afterAutospacing="0"/>
        <w:jc w:val="both"/>
        <w:rPr>
          <w:color w:val="auto"/>
          <w:highlight w:val="none"/>
        </w:rPr>
      </w:pPr>
      <w:r>
        <w:rPr>
          <w:color w:val="auto"/>
          <w:highlight w:val="none"/>
        </w:rPr>
        <w:t> </w:t>
      </w:r>
    </w:p>
    <w:p w14:paraId="1B8F9AAB">
      <w:pPr>
        <w:pStyle w:val="13"/>
        <w:spacing w:beforeAutospacing="0" w:afterAutospacing="0"/>
        <w:jc w:val="both"/>
        <w:rPr>
          <w:color w:val="auto"/>
          <w:highlight w:val="none"/>
        </w:rPr>
      </w:pPr>
    </w:p>
    <w:p w14:paraId="5C7164AB">
      <w:pPr>
        <w:pStyle w:val="13"/>
        <w:spacing w:beforeAutospacing="0" w:afterAutospacing="0"/>
        <w:jc w:val="both"/>
        <w:rPr>
          <w:color w:val="auto"/>
          <w:highlight w:val="none"/>
        </w:rPr>
      </w:pPr>
    </w:p>
    <w:p w14:paraId="5F0E1B9B">
      <w:pPr>
        <w:pStyle w:val="13"/>
        <w:spacing w:beforeAutospacing="0" w:afterAutospacing="0"/>
        <w:jc w:val="both"/>
        <w:rPr>
          <w:color w:val="auto"/>
          <w:highlight w:val="none"/>
        </w:rPr>
      </w:pPr>
    </w:p>
    <w:p w14:paraId="75AFED91">
      <w:pPr>
        <w:pStyle w:val="13"/>
        <w:spacing w:beforeAutospacing="0" w:afterAutospacing="0"/>
        <w:jc w:val="both"/>
        <w:rPr>
          <w:color w:val="auto"/>
          <w:highlight w:val="none"/>
        </w:rPr>
      </w:pPr>
    </w:p>
    <w:p w14:paraId="65C0BA42">
      <w:pPr>
        <w:pStyle w:val="13"/>
        <w:spacing w:beforeAutospacing="0" w:afterAutospacing="0"/>
        <w:jc w:val="both"/>
        <w:rPr>
          <w:color w:val="auto"/>
          <w:highlight w:val="none"/>
        </w:rPr>
      </w:pPr>
    </w:p>
    <w:p w14:paraId="76744F58">
      <w:pPr>
        <w:pStyle w:val="13"/>
        <w:spacing w:beforeAutospacing="0" w:afterAutospacing="0"/>
        <w:jc w:val="both"/>
        <w:rPr>
          <w:color w:val="auto"/>
          <w:highlight w:val="none"/>
        </w:rPr>
      </w:pPr>
    </w:p>
    <w:p w14:paraId="3D64817B">
      <w:pPr>
        <w:pStyle w:val="13"/>
        <w:spacing w:beforeAutospacing="0" w:afterAutospacing="0"/>
        <w:jc w:val="both"/>
        <w:rPr>
          <w:color w:val="auto"/>
          <w:highlight w:val="none"/>
        </w:rPr>
      </w:pPr>
    </w:p>
    <w:p w14:paraId="1825274C">
      <w:pPr>
        <w:pStyle w:val="13"/>
        <w:spacing w:beforeAutospacing="0" w:afterAutospacing="0"/>
        <w:jc w:val="both"/>
        <w:rPr>
          <w:color w:val="auto"/>
          <w:highlight w:val="none"/>
        </w:rPr>
      </w:pPr>
    </w:p>
    <w:p w14:paraId="7BE3F65A">
      <w:pPr>
        <w:pStyle w:val="13"/>
        <w:spacing w:beforeAutospacing="0" w:afterAutospacing="0"/>
        <w:jc w:val="both"/>
        <w:rPr>
          <w:color w:val="auto"/>
          <w:highlight w:val="none"/>
        </w:rPr>
      </w:pPr>
    </w:p>
    <w:p w14:paraId="6E929167">
      <w:pPr>
        <w:pStyle w:val="13"/>
        <w:spacing w:beforeAutospacing="0" w:afterAutospacing="0"/>
        <w:jc w:val="both"/>
        <w:rPr>
          <w:color w:val="auto"/>
          <w:highlight w:val="none"/>
        </w:rPr>
      </w:pPr>
    </w:p>
    <w:p w14:paraId="73ACF181">
      <w:pPr>
        <w:pStyle w:val="13"/>
        <w:spacing w:beforeAutospacing="0" w:afterAutospacing="0"/>
        <w:jc w:val="both"/>
        <w:rPr>
          <w:color w:val="auto"/>
          <w:highlight w:val="none"/>
        </w:rPr>
      </w:pPr>
    </w:p>
    <w:p w14:paraId="3E2DED04">
      <w:pPr>
        <w:pStyle w:val="13"/>
        <w:spacing w:beforeAutospacing="0" w:afterAutospacing="0"/>
        <w:jc w:val="both"/>
        <w:rPr>
          <w:color w:val="auto"/>
          <w:highlight w:val="none"/>
        </w:rPr>
      </w:pPr>
    </w:p>
    <w:p w14:paraId="336C6F8A">
      <w:pPr>
        <w:pStyle w:val="13"/>
        <w:spacing w:beforeAutospacing="0" w:afterAutospacing="0"/>
        <w:jc w:val="both"/>
        <w:rPr>
          <w:color w:val="auto"/>
          <w:highlight w:val="none"/>
        </w:rPr>
      </w:pPr>
    </w:p>
    <w:p w14:paraId="18A9B162">
      <w:pPr>
        <w:pStyle w:val="13"/>
        <w:spacing w:beforeAutospacing="0" w:afterAutospacing="0"/>
        <w:jc w:val="both"/>
        <w:rPr>
          <w:color w:val="auto"/>
          <w:highlight w:val="none"/>
        </w:rPr>
      </w:pPr>
    </w:p>
    <w:p w14:paraId="7B6DE2CC">
      <w:pPr>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br w:type="page"/>
      </w:r>
    </w:p>
    <w:p w14:paraId="1BB508CB">
      <w:pPr>
        <w:pStyle w:val="13"/>
        <w:spacing w:beforeAutospacing="0" w:afterAutospacing="0"/>
        <w:jc w:val="center"/>
        <w:rPr>
          <w:color w:val="auto"/>
          <w:highlight w:val="none"/>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四</w:t>
      </w:r>
      <w:r>
        <w:rPr>
          <w:rFonts w:hint="eastAsia" w:ascii="黑体" w:hAnsi="宋体" w:eastAsia="黑体" w:cs="黑体"/>
          <w:b/>
          <w:i/>
          <w:color w:val="auto"/>
          <w:sz w:val="32"/>
          <w:szCs w:val="32"/>
          <w:highlight w:val="none"/>
          <w:u w:val="single"/>
        </w:rPr>
        <w:t>、开标一览表</w:t>
      </w:r>
    </w:p>
    <w:p w14:paraId="2D9349A9">
      <w:pPr>
        <w:pStyle w:val="13"/>
        <w:spacing w:beforeAutospacing="0" w:afterAutospacing="0"/>
        <w:jc w:val="both"/>
        <w:rPr>
          <w:color w:val="auto"/>
          <w:highlight w:val="none"/>
        </w:rPr>
      </w:pPr>
      <w:r>
        <w:rPr>
          <w:rFonts w:hint="eastAsia" w:ascii="宋体" w:hAnsi="宋体" w:eastAsia="宋体" w:cs="宋体"/>
          <w:color w:val="auto"/>
          <w:highlight w:val="none"/>
        </w:rPr>
        <w:t>投标人全称（加盖CA电子签章）：</w:t>
      </w:r>
    </w:p>
    <w:p w14:paraId="5935BE7A">
      <w:pPr>
        <w:pStyle w:val="13"/>
        <w:spacing w:beforeAutospacing="0" w:afterAutospacing="0"/>
        <w:jc w:val="both"/>
        <w:rPr>
          <w:color w:val="auto"/>
          <w:highlight w:val="none"/>
        </w:rPr>
      </w:pPr>
      <w:r>
        <w:rPr>
          <w:rFonts w:hint="eastAsia" w:ascii="宋体" w:hAnsi="宋体" w:eastAsia="宋体" w:cs="宋体"/>
          <w:color w:val="auto"/>
          <w:highlight w:val="none"/>
        </w:rPr>
        <w:t>项目名称：</w:t>
      </w:r>
    </w:p>
    <w:p w14:paraId="68E56E46">
      <w:pPr>
        <w:pStyle w:val="13"/>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xml:space="preserve">招标编号：  </w:t>
      </w:r>
    </w:p>
    <w:p w14:paraId="310491DE">
      <w:pPr>
        <w:pStyle w:val="13"/>
        <w:spacing w:beforeAutospacing="0" w:afterAutospacing="0"/>
        <w:jc w:val="both"/>
        <w:rPr>
          <w:color w:val="auto"/>
          <w:highlight w:val="none"/>
        </w:rPr>
      </w:pPr>
      <w:r>
        <w:rPr>
          <w:rFonts w:hint="eastAsia" w:ascii="宋体" w:hAnsi="宋体" w:eastAsia="宋体" w:cs="宋体"/>
          <w:color w:val="auto"/>
          <w:highlight w:val="none"/>
        </w:rPr>
        <w:t>分包号：</w:t>
      </w:r>
    </w:p>
    <w:tbl>
      <w:tblPr>
        <w:tblStyle w:val="16"/>
        <w:tblW w:w="8206" w:type="dxa"/>
        <w:tblCellSpacing w:w="0" w:type="dxa"/>
        <w:tblInd w:w="118" w:type="dxa"/>
        <w:tblLayout w:type="fixed"/>
        <w:tblCellMar>
          <w:top w:w="0" w:type="dxa"/>
          <w:left w:w="108" w:type="dxa"/>
          <w:bottom w:w="0" w:type="dxa"/>
          <w:right w:w="108" w:type="dxa"/>
        </w:tblCellMar>
      </w:tblPr>
      <w:tblGrid>
        <w:gridCol w:w="8206"/>
      </w:tblGrid>
      <w:tr w14:paraId="27DC4B82">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745CE">
            <w:pPr>
              <w:pStyle w:val="13"/>
              <w:spacing w:beforeAutospacing="0" w:afterAutospacing="0"/>
              <w:jc w:val="both"/>
              <w:rPr>
                <w:color w:val="auto"/>
                <w:highlight w:val="none"/>
              </w:rPr>
            </w:pPr>
            <w:r>
              <w:rPr>
                <w:rFonts w:hint="eastAsia" w:ascii="宋体" w:hAnsi="宋体" w:eastAsia="宋体" w:cs="宋体"/>
                <w:color w:val="auto"/>
                <w:highlight w:val="none"/>
              </w:rPr>
              <w:t>                      投标总报价</w:t>
            </w:r>
          </w:p>
        </w:tc>
      </w:tr>
      <w:tr w14:paraId="7DE755B3">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85396">
            <w:pPr>
              <w:pStyle w:val="13"/>
              <w:spacing w:beforeAutospacing="0" w:afterAutospacing="0" w:line="0" w:lineRule="atLeast"/>
              <w:rPr>
                <w:color w:val="auto"/>
                <w:highlight w:val="none"/>
              </w:rPr>
            </w:pPr>
            <w:r>
              <w:rPr>
                <w:rFonts w:hint="eastAsia" w:ascii="宋体" w:hAnsi="宋体" w:eastAsia="宋体" w:cs="宋体"/>
                <w:color w:val="auto"/>
                <w:highlight w:val="none"/>
              </w:rPr>
              <w:t>小写：                  （人民币：元）</w:t>
            </w:r>
          </w:p>
        </w:tc>
      </w:tr>
    </w:tbl>
    <w:p w14:paraId="61EAFA82">
      <w:pPr>
        <w:pStyle w:val="13"/>
        <w:spacing w:beforeAutospacing="0" w:afterAutospacing="0"/>
        <w:jc w:val="both"/>
        <w:rPr>
          <w:color w:val="auto"/>
          <w:highlight w:val="none"/>
        </w:rPr>
      </w:pPr>
      <w:r>
        <w:rPr>
          <w:color w:val="auto"/>
          <w:highlight w:val="none"/>
        </w:rPr>
        <w:t> </w:t>
      </w:r>
    </w:p>
    <w:p w14:paraId="14EAD37D">
      <w:pPr>
        <w:pStyle w:val="13"/>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441C73C3">
      <w:pPr>
        <w:pStyle w:val="13"/>
        <w:spacing w:beforeAutospacing="0" w:afterAutospacing="0"/>
        <w:ind w:firstLine="480"/>
        <w:jc w:val="both"/>
        <w:rPr>
          <w:color w:val="auto"/>
          <w:highlight w:val="none"/>
        </w:rPr>
      </w:pPr>
      <w:r>
        <w:rPr>
          <w:color w:val="auto"/>
          <w:highlight w:val="none"/>
        </w:rPr>
        <w:t> </w:t>
      </w:r>
    </w:p>
    <w:p w14:paraId="4C8D912B">
      <w:pPr>
        <w:widowControl/>
        <w:spacing w:before="50" w:after="50"/>
        <w:jc w:val="center"/>
        <w:rPr>
          <w:color w:val="auto"/>
          <w:highlight w:val="none"/>
        </w:rPr>
      </w:pPr>
      <w:r>
        <w:rPr>
          <w:color w:val="auto"/>
          <w:highlight w:val="none"/>
        </w:rPr>
        <w:tab/>
      </w:r>
    </w:p>
    <w:p w14:paraId="44803F4B">
      <w:pPr>
        <w:widowControl/>
        <w:spacing w:before="50" w:after="50"/>
        <w:jc w:val="center"/>
        <w:rPr>
          <w:color w:val="auto"/>
          <w:highlight w:val="none"/>
        </w:rPr>
      </w:pPr>
    </w:p>
    <w:p w14:paraId="3C363430">
      <w:pPr>
        <w:widowControl/>
        <w:spacing w:before="50" w:after="50"/>
        <w:jc w:val="center"/>
        <w:rPr>
          <w:color w:val="auto"/>
          <w:highlight w:val="none"/>
        </w:rPr>
      </w:pPr>
    </w:p>
    <w:p w14:paraId="2ACDE56A">
      <w:pPr>
        <w:widowControl/>
        <w:spacing w:before="50" w:after="50"/>
        <w:jc w:val="center"/>
        <w:rPr>
          <w:color w:val="auto"/>
          <w:highlight w:val="none"/>
        </w:rPr>
      </w:pPr>
    </w:p>
    <w:p w14:paraId="6C9FE14D">
      <w:pPr>
        <w:widowControl/>
        <w:spacing w:before="50" w:after="50"/>
        <w:jc w:val="center"/>
        <w:rPr>
          <w:color w:val="auto"/>
          <w:highlight w:val="none"/>
        </w:rPr>
      </w:pPr>
    </w:p>
    <w:p w14:paraId="5C0D5099">
      <w:pPr>
        <w:widowControl/>
        <w:spacing w:before="50" w:after="50"/>
        <w:jc w:val="center"/>
        <w:rPr>
          <w:color w:val="auto"/>
          <w:highlight w:val="none"/>
        </w:rPr>
      </w:pPr>
    </w:p>
    <w:p w14:paraId="3723C5AA">
      <w:pPr>
        <w:widowControl/>
        <w:spacing w:before="50" w:after="50"/>
        <w:jc w:val="center"/>
        <w:rPr>
          <w:color w:val="auto"/>
          <w:highlight w:val="none"/>
        </w:rPr>
      </w:pPr>
    </w:p>
    <w:p w14:paraId="3DF9496F">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18198E95">
      <w:pPr>
        <w:widowControl/>
        <w:spacing w:before="50" w:after="50"/>
        <w:jc w:val="center"/>
        <w:rPr>
          <w:rFonts w:ascii="宋体" w:hAnsi="宋体" w:eastAsia="宋体" w:cs="宋体"/>
          <w:color w:val="auto"/>
          <w:sz w:val="24"/>
          <w:highlight w:val="none"/>
        </w:rPr>
      </w:pPr>
      <w:r>
        <w:rPr>
          <w:rFonts w:hint="eastAsia" w:ascii="宋体" w:hAnsi="宋体" w:eastAsia="宋体" w:cs="宋体"/>
          <w:color w:val="auto"/>
          <w:sz w:val="32"/>
          <w:szCs w:val="32"/>
          <w:highlight w:val="none"/>
        </w:rPr>
        <w:t>十</w:t>
      </w:r>
      <w:r>
        <w:rPr>
          <w:rFonts w:hint="eastAsia" w:ascii="宋体" w:hAnsi="宋体" w:eastAsia="宋体" w:cs="宋体"/>
          <w:color w:val="auto"/>
          <w:sz w:val="32"/>
          <w:szCs w:val="32"/>
          <w:highlight w:val="none"/>
          <w:lang w:val="en-US" w:eastAsia="zh-CN"/>
        </w:rPr>
        <w:t>五</w:t>
      </w:r>
      <w:r>
        <w:rPr>
          <w:rFonts w:hint="eastAsia" w:ascii="宋体" w:hAnsi="宋体" w:eastAsia="宋体" w:cs="宋体"/>
          <w:color w:val="auto"/>
          <w:sz w:val="32"/>
          <w:szCs w:val="32"/>
          <w:highlight w:val="none"/>
        </w:rPr>
        <w:t>、技术方案、服务承诺、培训承诺等</w:t>
      </w:r>
    </w:p>
    <w:p w14:paraId="1CB49C79">
      <w:pPr>
        <w:pStyle w:val="13"/>
        <w:tabs>
          <w:tab w:val="left" w:pos="2160"/>
        </w:tabs>
        <w:spacing w:beforeAutospacing="0" w:afterAutospacing="0"/>
        <w:jc w:val="both"/>
        <w:rPr>
          <w:color w:val="auto"/>
          <w:highlight w:val="none"/>
        </w:rPr>
      </w:pPr>
    </w:p>
    <w:p w14:paraId="74A2A739">
      <w:pPr>
        <w:widowControl/>
        <w:spacing w:line="499" w:lineRule="atLeast"/>
        <w:ind w:firstLine="1600"/>
        <w:rPr>
          <w:rFonts w:ascii="宋体" w:hAnsi="宋体" w:eastAsia="宋体" w:cs="宋体"/>
          <w:color w:val="auto"/>
          <w:sz w:val="32"/>
          <w:szCs w:val="32"/>
          <w:highlight w:val="none"/>
        </w:rPr>
      </w:pPr>
    </w:p>
    <w:p w14:paraId="6A85A1D4">
      <w:pPr>
        <w:widowControl/>
        <w:spacing w:line="499" w:lineRule="atLeast"/>
        <w:ind w:firstLine="1600"/>
        <w:rPr>
          <w:rFonts w:ascii="宋体" w:hAnsi="宋体" w:eastAsia="宋体" w:cs="宋体"/>
          <w:color w:val="auto"/>
          <w:sz w:val="32"/>
          <w:szCs w:val="32"/>
          <w:highlight w:val="none"/>
        </w:rPr>
      </w:pPr>
    </w:p>
    <w:p w14:paraId="393DB9C4">
      <w:pPr>
        <w:widowControl/>
        <w:spacing w:line="499" w:lineRule="atLeast"/>
        <w:ind w:firstLine="1600"/>
        <w:rPr>
          <w:rFonts w:ascii="宋体" w:hAnsi="宋体" w:eastAsia="宋体" w:cs="宋体"/>
          <w:color w:val="auto"/>
          <w:sz w:val="32"/>
          <w:szCs w:val="32"/>
          <w:highlight w:val="none"/>
        </w:rPr>
      </w:pPr>
    </w:p>
    <w:p w14:paraId="7ECDE9C8">
      <w:pPr>
        <w:widowControl/>
        <w:spacing w:line="499" w:lineRule="atLeast"/>
        <w:ind w:firstLine="1600"/>
        <w:rPr>
          <w:rFonts w:ascii="宋体" w:hAnsi="宋体" w:eastAsia="宋体" w:cs="宋体"/>
          <w:color w:val="auto"/>
          <w:sz w:val="32"/>
          <w:szCs w:val="32"/>
          <w:highlight w:val="none"/>
        </w:rPr>
      </w:pPr>
    </w:p>
    <w:p w14:paraId="542A04DB">
      <w:pPr>
        <w:widowControl/>
        <w:spacing w:line="499" w:lineRule="atLeast"/>
        <w:ind w:firstLine="1600"/>
        <w:rPr>
          <w:rFonts w:ascii="宋体" w:hAnsi="宋体" w:eastAsia="宋体" w:cs="宋体"/>
          <w:color w:val="auto"/>
          <w:sz w:val="32"/>
          <w:szCs w:val="32"/>
          <w:highlight w:val="none"/>
        </w:rPr>
      </w:pPr>
    </w:p>
    <w:p w14:paraId="7C783D9B">
      <w:pPr>
        <w:widowControl/>
        <w:spacing w:line="499" w:lineRule="atLeast"/>
        <w:ind w:firstLine="1600"/>
        <w:rPr>
          <w:rFonts w:ascii="宋体" w:hAnsi="宋体" w:eastAsia="宋体" w:cs="宋体"/>
          <w:color w:val="auto"/>
          <w:sz w:val="32"/>
          <w:szCs w:val="32"/>
          <w:highlight w:val="none"/>
        </w:rPr>
      </w:pPr>
    </w:p>
    <w:p w14:paraId="417E7B1D">
      <w:pPr>
        <w:widowControl/>
        <w:spacing w:line="499" w:lineRule="atLeast"/>
        <w:ind w:firstLine="1600"/>
        <w:rPr>
          <w:rFonts w:ascii="宋体" w:hAnsi="宋体" w:eastAsia="宋体" w:cs="宋体"/>
          <w:color w:val="auto"/>
          <w:sz w:val="32"/>
          <w:szCs w:val="32"/>
          <w:highlight w:val="none"/>
        </w:rPr>
      </w:pPr>
    </w:p>
    <w:p w14:paraId="04D33EDA">
      <w:pPr>
        <w:widowControl/>
        <w:spacing w:line="499" w:lineRule="atLeast"/>
        <w:ind w:firstLine="1600"/>
        <w:rPr>
          <w:rFonts w:ascii="宋体" w:hAnsi="宋体" w:eastAsia="宋体" w:cs="宋体"/>
          <w:color w:val="auto"/>
          <w:sz w:val="32"/>
          <w:szCs w:val="32"/>
          <w:highlight w:val="none"/>
        </w:rPr>
      </w:pPr>
    </w:p>
    <w:p w14:paraId="725C80E8">
      <w:pPr>
        <w:widowControl/>
        <w:spacing w:line="499" w:lineRule="atLeast"/>
        <w:ind w:firstLine="1600"/>
        <w:rPr>
          <w:rFonts w:ascii="宋体" w:hAnsi="宋体" w:eastAsia="宋体" w:cs="宋体"/>
          <w:color w:val="auto"/>
          <w:sz w:val="32"/>
          <w:szCs w:val="32"/>
          <w:highlight w:val="none"/>
        </w:rPr>
      </w:pPr>
    </w:p>
    <w:p w14:paraId="2DADBFBF">
      <w:pPr>
        <w:widowControl/>
        <w:spacing w:line="499" w:lineRule="atLeast"/>
        <w:ind w:firstLine="1600"/>
        <w:rPr>
          <w:rFonts w:ascii="宋体" w:hAnsi="宋体" w:eastAsia="宋体" w:cs="宋体"/>
          <w:color w:val="auto"/>
          <w:sz w:val="32"/>
          <w:szCs w:val="32"/>
          <w:highlight w:val="none"/>
        </w:rPr>
      </w:pPr>
    </w:p>
    <w:p w14:paraId="03FC0510">
      <w:pPr>
        <w:widowControl/>
        <w:spacing w:line="499" w:lineRule="atLeast"/>
        <w:ind w:firstLine="1600"/>
        <w:rPr>
          <w:rFonts w:ascii="宋体" w:hAnsi="宋体" w:eastAsia="宋体" w:cs="宋体"/>
          <w:color w:val="auto"/>
          <w:sz w:val="32"/>
          <w:szCs w:val="32"/>
          <w:highlight w:val="none"/>
        </w:rPr>
      </w:pPr>
    </w:p>
    <w:p w14:paraId="20C588AD">
      <w:pPr>
        <w:widowControl/>
        <w:spacing w:line="499" w:lineRule="atLeast"/>
        <w:ind w:firstLine="1600"/>
        <w:rPr>
          <w:rFonts w:ascii="宋体" w:hAnsi="宋体" w:eastAsia="宋体" w:cs="宋体"/>
          <w:color w:val="auto"/>
          <w:sz w:val="32"/>
          <w:szCs w:val="32"/>
          <w:highlight w:val="none"/>
        </w:rPr>
      </w:pPr>
    </w:p>
    <w:p w14:paraId="326BCDC2">
      <w:pPr>
        <w:widowControl/>
        <w:spacing w:line="499" w:lineRule="atLeast"/>
        <w:ind w:firstLine="1600"/>
        <w:rPr>
          <w:rFonts w:ascii="宋体" w:hAnsi="宋体" w:eastAsia="宋体" w:cs="宋体"/>
          <w:color w:val="auto"/>
          <w:sz w:val="32"/>
          <w:szCs w:val="32"/>
          <w:highlight w:val="none"/>
        </w:rPr>
      </w:pPr>
    </w:p>
    <w:p w14:paraId="15A31552">
      <w:pPr>
        <w:widowControl/>
        <w:spacing w:line="499" w:lineRule="atLeast"/>
        <w:ind w:firstLine="1600"/>
        <w:rPr>
          <w:rFonts w:ascii="宋体" w:hAnsi="宋体" w:eastAsia="宋体" w:cs="宋体"/>
          <w:color w:val="auto"/>
          <w:sz w:val="32"/>
          <w:szCs w:val="32"/>
          <w:highlight w:val="none"/>
        </w:rPr>
      </w:pPr>
    </w:p>
    <w:p w14:paraId="7D9CDC2F">
      <w:pPr>
        <w:widowControl/>
        <w:spacing w:line="499" w:lineRule="atLeast"/>
        <w:ind w:firstLine="1600"/>
        <w:rPr>
          <w:rFonts w:ascii="宋体" w:hAnsi="宋体" w:eastAsia="宋体" w:cs="宋体"/>
          <w:color w:val="auto"/>
          <w:sz w:val="32"/>
          <w:szCs w:val="32"/>
          <w:highlight w:val="none"/>
        </w:rPr>
      </w:pPr>
    </w:p>
    <w:p w14:paraId="3F859832">
      <w:pPr>
        <w:widowControl/>
        <w:spacing w:line="499" w:lineRule="atLeast"/>
        <w:rPr>
          <w:rFonts w:ascii="宋体" w:hAnsi="宋体" w:eastAsia="宋体" w:cs="宋体"/>
          <w:color w:val="auto"/>
          <w:sz w:val="32"/>
          <w:szCs w:val="32"/>
          <w:highlight w:val="none"/>
        </w:rPr>
      </w:pPr>
    </w:p>
    <w:p w14:paraId="6550BC38">
      <w:pPr>
        <w:widowControl/>
        <w:spacing w:line="499" w:lineRule="atLeast"/>
        <w:ind w:firstLine="1600"/>
        <w:rPr>
          <w:rFonts w:ascii="宋体" w:hAnsi="宋体" w:eastAsia="宋体" w:cs="宋体"/>
          <w:color w:val="auto"/>
          <w:sz w:val="32"/>
          <w:szCs w:val="32"/>
          <w:highlight w:val="none"/>
        </w:rPr>
      </w:pPr>
    </w:p>
    <w:p w14:paraId="662610B9">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277D0B34">
      <w:pPr>
        <w:widowControl/>
        <w:spacing w:line="499" w:lineRule="atLeast"/>
        <w:ind w:firstLine="1600"/>
        <w:rPr>
          <w:rFonts w:ascii="宋体" w:hAnsi="宋体" w:eastAsia="宋体" w:cs="宋体"/>
          <w:color w:val="auto"/>
          <w:sz w:val="24"/>
          <w:highlight w:val="none"/>
        </w:rPr>
      </w:pPr>
      <w:r>
        <w:rPr>
          <w:rFonts w:hint="eastAsia" w:ascii="宋体" w:hAnsi="宋体" w:eastAsia="宋体" w:cs="宋体"/>
          <w:color w:val="auto"/>
          <w:sz w:val="32"/>
          <w:szCs w:val="32"/>
          <w:highlight w:val="none"/>
        </w:rPr>
        <w:t>十</w:t>
      </w:r>
      <w:r>
        <w:rPr>
          <w:rFonts w:hint="eastAsia" w:ascii="宋体" w:hAnsi="宋体" w:eastAsia="宋体" w:cs="宋体"/>
          <w:color w:val="auto"/>
          <w:sz w:val="32"/>
          <w:szCs w:val="32"/>
          <w:highlight w:val="none"/>
          <w:lang w:val="en-US" w:eastAsia="zh-CN"/>
        </w:rPr>
        <w:t>六</w:t>
      </w:r>
      <w:r>
        <w:rPr>
          <w:rFonts w:hint="eastAsia" w:ascii="宋体" w:hAnsi="宋体" w:eastAsia="宋体" w:cs="宋体"/>
          <w:color w:val="auto"/>
          <w:sz w:val="32"/>
          <w:szCs w:val="32"/>
          <w:highlight w:val="none"/>
        </w:rPr>
        <w:t>、盐都区政府采购事前信用承诺书</w:t>
      </w:r>
    </w:p>
    <w:p w14:paraId="28C449F9">
      <w:pPr>
        <w:widowControl/>
        <w:spacing w:line="499" w:lineRule="atLeast"/>
        <w:ind w:firstLine="640"/>
        <w:jc w:val="left"/>
        <w:rPr>
          <w:rFonts w:ascii="宋体" w:hAnsi="宋体" w:eastAsia="宋体" w:cs="宋体"/>
          <w:color w:val="auto"/>
          <w:sz w:val="24"/>
          <w:highlight w:val="none"/>
        </w:rPr>
      </w:pPr>
      <w:r>
        <w:rPr>
          <w:rFonts w:hint="eastAsia" w:ascii="宋体" w:hAnsi="宋体" w:eastAsia="宋体" w:cs="宋体"/>
          <w:color w:val="auto"/>
          <w:sz w:val="32"/>
          <w:szCs w:val="32"/>
          <w:highlight w:val="none"/>
        </w:rPr>
        <w:t> </w:t>
      </w:r>
    </w:p>
    <w:p w14:paraId="2A2C3A90">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23249375">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（一）本单位对所提交的企（事）业单位基本信息、企（事）业负责人、项目负责人、技术负责人、从业资质和资格、业绩、财务状况、信誉等所有资料，均合法、真实、准确、有效，无任何伪造、修改、虚假成</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highlight w:val="none"/>
        </w:rPr>
        <w:t>，并对所提供资料的真实性负责；</w:t>
      </w:r>
    </w:p>
    <w:p w14:paraId="6EB43483">
      <w:pPr>
        <w:widowControl/>
        <w:spacing w:line="499" w:lineRule="atLeas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FF6F38A">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p>
    <w:p w14:paraId="67E614B6">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（四）严格遵守即时信息公示规定，及时维护和更新盐城市政府采购网中与本单位相关的信息；</w:t>
      </w:r>
    </w:p>
    <w:p w14:paraId="27D5CB74">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5F682684">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（六）自觉接受政府、行业组织、社会公众、新闻舆论的监督；</w:t>
      </w:r>
    </w:p>
    <w:p w14:paraId="0C6AF14D">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8E26259">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（八）本人已认真阅读了上述承诺，并向本单位员工作了宣传教育。</w:t>
      </w:r>
    </w:p>
    <w:p w14:paraId="767FF0BB">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法定代表人签名：</w:t>
      </w:r>
    </w:p>
    <w:p w14:paraId="53773852">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188A903A">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年月日</w:t>
      </w:r>
    </w:p>
    <w:p w14:paraId="0341C0DA">
      <w:pPr>
        <w:pStyle w:val="13"/>
        <w:spacing w:beforeAutospacing="0" w:afterAutospacing="0"/>
        <w:jc w:val="center"/>
        <w:rPr>
          <w:color w:val="auto"/>
          <w:highlight w:val="none"/>
        </w:rPr>
      </w:pPr>
    </w:p>
    <w:bookmarkEnd w:id="6"/>
    <w:bookmarkEnd w:id="47"/>
    <w:bookmarkEnd w:id="92"/>
    <w:bookmarkEnd w:id="93"/>
    <w:bookmarkEnd w:id="94"/>
    <w:bookmarkEnd w:id="97"/>
    <w:bookmarkEnd w:id="98"/>
    <w:bookmarkEnd w:id="99"/>
    <w:bookmarkEnd w:id="100"/>
    <w:bookmarkEnd w:id="101"/>
    <w:bookmarkEnd w:id="102"/>
    <w:bookmarkEnd w:id="103"/>
    <w:bookmarkEnd w:id="104"/>
    <w:bookmarkEnd w:id="105"/>
    <w:bookmarkEnd w:id="106"/>
    <w:bookmarkEnd w:id="107"/>
    <w:bookmarkEnd w:id="108"/>
    <w:bookmarkEnd w:id="109"/>
    <w:bookmarkEnd w:id="114"/>
    <w:bookmarkEnd w:id="115"/>
    <w:bookmarkEnd w:id="116"/>
    <w:bookmarkEnd w:id="121"/>
    <w:bookmarkEnd w:id="122"/>
    <w:bookmarkEnd w:id="129"/>
    <w:bookmarkEnd w:id="184"/>
    <w:bookmarkEnd w:id="187"/>
    <w:bookmarkEnd w:id="191"/>
    <w:bookmarkEnd w:id="192"/>
    <w:bookmarkEnd w:id="194"/>
    <w:bookmarkEnd w:id="195"/>
    <w:bookmarkEnd w:id="196"/>
    <w:bookmarkEnd w:id="197"/>
    <w:bookmarkEnd w:id="206"/>
    <w:bookmarkEnd w:id="207"/>
    <w:bookmarkEnd w:id="208"/>
    <w:bookmarkEnd w:id="209"/>
    <w:bookmarkEnd w:id="210"/>
    <w:p w14:paraId="07E2C685">
      <w:pPr>
        <w:rPr>
          <w:color w:val="auto"/>
          <w:highlight w:val="none"/>
        </w:rPr>
      </w:pPr>
    </w:p>
    <w:p w14:paraId="455A4139">
      <w:pPr>
        <w:pStyle w:val="13"/>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5CE2F8A0">
      <w:pPr>
        <w:pStyle w:val="13"/>
        <w:spacing w:before="290"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07E5D830">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77E1A8D">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6C2BF6D3">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71DBBAC5">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6456502">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09F66940">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91133AC">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1BE9E22">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002AF0C">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01017C9D">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067AFCB6">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20388830">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6F4BD9E2">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265647A">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407116E0">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69EA744F">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7EA1A11C">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0984C797">
      <w:pPr>
        <w:pStyle w:val="13"/>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7137CF55">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49682AC0">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质疑事项2</w:t>
      </w:r>
    </w:p>
    <w:p w14:paraId="7DC77106">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w:t>
      </w:r>
    </w:p>
    <w:p w14:paraId="679AF682">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5D7E44CD">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7D72B05D">
      <w:pPr>
        <w:pStyle w:val="13"/>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4B172D1F">
      <w:pPr>
        <w:pStyle w:val="13"/>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3518BBA1">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1EC846F0">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8F200EE">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4DA3DA81">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0137BDF1">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4B892349">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12121408">
      <w:pPr>
        <w:pStyle w:val="13"/>
        <w:spacing w:beforeAutospacing="0" w:afterAutospacing="0"/>
        <w:ind w:firstLine="420"/>
        <w:jc w:val="both"/>
        <w:rPr>
          <w:rFonts w:ascii="宋体" w:hAnsi="宋体" w:eastAsia="宋体" w:cs="宋体"/>
          <w:color w:val="auto"/>
          <w:highlight w:val="none"/>
        </w:rPr>
      </w:pPr>
      <w:r>
        <w:rPr>
          <w:rFonts w:hint="eastAsia" w:ascii="宋体" w:hAnsi="宋体" w:eastAsia="宋体" w:cs="宋体"/>
          <w:color w:val="auto"/>
          <w:highlight w:val="none"/>
        </w:rPr>
        <w:t> </w:t>
      </w:r>
    </w:p>
    <w:p w14:paraId="0E35D2CE">
      <w:pPr>
        <w:rPr>
          <w:color w:val="auto"/>
          <w:highlight w:val="none"/>
        </w:rPr>
      </w:pPr>
    </w:p>
    <w:p w14:paraId="3BB3C224">
      <w:pPr>
        <w:rPr>
          <w:color w:val="auto"/>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699A6C"/>
    <w:multiLevelType w:val="singleLevel"/>
    <w:tmpl w:val="CE699A6C"/>
    <w:lvl w:ilvl="0" w:tentative="0">
      <w:start w:val="2"/>
      <w:numFmt w:val="decimal"/>
      <w:lvlText w:val="%1."/>
      <w:lvlJc w:val="left"/>
      <w:pPr>
        <w:tabs>
          <w:tab w:val="left" w:pos="312"/>
        </w:tabs>
      </w:pPr>
    </w:lvl>
  </w:abstractNum>
  <w:abstractNum w:abstractNumId="1">
    <w:nsid w:val="397A41B4"/>
    <w:multiLevelType w:val="singleLevel"/>
    <w:tmpl w:val="397A41B4"/>
    <w:lvl w:ilvl="0" w:tentative="0">
      <w:start w:val="11"/>
      <w:numFmt w:val="chineseCounting"/>
      <w:suff w:val="nothing"/>
      <w:lvlText w:val="%1、"/>
      <w:lvlJc w:val="left"/>
      <w:rPr>
        <w:rFonts w:hint="eastAsia"/>
      </w:rPr>
    </w:lvl>
  </w:abstractNum>
  <w:abstractNum w:abstractNumId="2">
    <w:nsid w:val="58315CD4"/>
    <w:multiLevelType w:val="singleLevel"/>
    <w:tmpl w:val="58315CD4"/>
    <w:lvl w:ilvl="0" w:tentative="0">
      <w:start w:val="1"/>
      <w:numFmt w:val="decimal"/>
      <w:suff w:val="nothing"/>
      <w:lvlText w:val="（%1）"/>
      <w:lvlJc w:val="left"/>
    </w:lvl>
  </w:abstractNum>
  <w:abstractNum w:abstractNumId="3">
    <w:nsid w:val="6F188C61"/>
    <w:multiLevelType w:val="singleLevel"/>
    <w:tmpl w:val="6F188C61"/>
    <w:lvl w:ilvl="0" w:tentative="0">
      <w:start w:val="6"/>
      <w:numFmt w:val="decimal"/>
      <w:suff w:val="nothing"/>
      <w:lvlText w:val="%1、"/>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FjYzRmMGJmNTNmYjJkNmJkNjhjMjEwOTQ4YzI5NWMifQ=="/>
    <w:docVar w:name="KSO_WPS_MARK_KEY" w:val="6ba5770c-3a17-4152-bbdf-e5d4216a2f2c"/>
  </w:docVars>
  <w:rsids>
    <w:rsidRoot w:val="004C5600"/>
    <w:rsid w:val="001C5EE0"/>
    <w:rsid w:val="003F55C5"/>
    <w:rsid w:val="004C5331"/>
    <w:rsid w:val="004C5600"/>
    <w:rsid w:val="004D5BCE"/>
    <w:rsid w:val="005902D3"/>
    <w:rsid w:val="005919D3"/>
    <w:rsid w:val="00641DF0"/>
    <w:rsid w:val="00740591"/>
    <w:rsid w:val="007D0A5A"/>
    <w:rsid w:val="00884654"/>
    <w:rsid w:val="00A80FAB"/>
    <w:rsid w:val="00B87CC8"/>
    <w:rsid w:val="00D63A57"/>
    <w:rsid w:val="00DC54F3"/>
    <w:rsid w:val="00EB66BD"/>
    <w:rsid w:val="00ED128E"/>
    <w:rsid w:val="00F3774C"/>
    <w:rsid w:val="01092E43"/>
    <w:rsid w:val="01B7433E"/>
    <w:rsid w:val="01C43576"/>
    <w:rsid w:val="01D7576C"/>
    <w:rsid w:val="024352EF"/>
    <w:rsid w:val="026E7947"/>
    <w:rsid w:val="028B27F7"/>
    <w:rsid w:val="02986DD2"/>
    <w:rsid w:val="035148F2"/>
    <w:rsid w:val="03FC11ED"/>
    <w:rsid w:val="047768CF"/>
    <w:rsid w:val="04EC4F54"/>
    <w:rsid w:val="0515698F"/>
    <w:rsid w:val="05573D16"/>
    <w:rsid w:val="05603532"/>
    <w:rsid w:val="05991F64"/>
    <w:rsid w:val="05E35235"/>
    <w:rsid w:val="062E2E2E"/>
    <w:rsid w:val="063D464A"/>
    <w:rsid w:val="064962E3"/>
    <w:rsid w:val="06783F44"/>
    <w:rsid w:val="06B64A6C"/>
    <w:rsid w:val="070F49A2"/>
    <w:rsid w:val="073E518E"/>
    <w:rsid w:val="07CA6288"/>
    <w:rsid w:val="08136986"/>
    <w:rsid w:val="084911BB"/>
    <w:rsid w:val="08564CB9"/>
    <w:rsid w:val="08654420"/>
    <w:rsid w:val="087D77EC"/>
    <w:rsid w:val="08B6067C"/>
    <w:rsid w:val="08E60E2C"/>
    <w:rsid w:val="09930631"/>
    <w:rsid w:val="0B0264D2"/>
    <w:rsid w:val="0B3D750A"/>
    <w:rsid w:val="0B4611F7"/>
    <w:rsid w:val="0B4E7969"/>
    <w:rsid w:val="0B5B3F0C"/>
    <w:rsid w:val="0B7D7388"/>
    <w:rsid w:val="0B811AED"/>
    <w:rsid w:val="0BC71BE8"/>
    <w:rsid w:val="0C002831"/>
    <w:rsid w:val="0C0A1AE2"/>
    <w:rsid w:val="0C9515FD"/>
    <w:rsid w:val="0CF915E6"/>
    <w:rsid w:val="0D6E7E4F"/>
    <w:rsid w:val="0D8B3E92"/>
    <w:rsid w:val="0E28072B"/>
    <w:rsid w:val="0E412116"/>
    <w:rsid w:val="0ED85EC8"/>
    <w:rsid w:val="0EE161E4"/>
    <w:rsid w:val="0F0071CD"/>
    <w:rsid w:val="0F1B7B63"/>
    <w:rsid w:val="0F3052F1"/>
    <w:rsid w:val="0F9242C9"/>
    <w:rsid w:val="0F953DB9"/>
    <w:rsid w:val="0FD03043"/>
    <w:rsid w:val="0FD04AF8"/>
    <w:rsid w:val="107F6265"/>
    <w:rsid w:val="10961B97"/>
    <w:rsid w:val="10A76007"/>
    <w:rsid w:val="11427949"/>
    <w:rsid w:val="11BC7F56"/>
    <w:rsid w:val="12021AC7"/>
    <w:rsid w:val="12217339"/>
    <w:rsid w:val="12927533"/>
    <w:rsid w:val="12ED454F"/>
    <w:rsid w:val="131808AA"/>
    <w:rsid w:val="13C26B66"/>
    <w:rsid w:val="13DD7283"/>
    <w:rsid w:val="13F943AE"/>
    <w:rsid w:val="13F97C06"/>
    <w:rsid w:val="13FF2FDC"/>
    <w:rsid w:val="144B7496"/>
    <w:rsid w:val="156E26D0"/>
    <w:rsid w:val="16351328"/>
    <w:rsid w:val="166E6F3D"/>
    <w:rsid w:val="1686445B"/>
    <w:rsid w:val="171530A7"/>
    <w:rsid w:val="18C43019"/>
    <w:rsid w:val="18CE28C0"/>
    <w:rsid w:val="18E04888"/>
    <w:rsid w:val="18FF04F5"/>
    <w:rsid w:val="19206EF6"/>
    <w:rsid w:val="1A38665C"/>
    <w:rsid w:val="1AD70716"/>
    <w:rsid w:val="1AF726B9"/>
    <w:rsid w:val="1AFF7E9E"/>
    <w:rsid w:val="1B952491"/>
    <w:rsid w:val="1BB15E7B"/>
    <w:rsid w:val="1C2C1048"/>
    <w:rsid w:val="1C3F69E4"/>
    <w:rsid w:val="1C7217BC"/>
    <w:rsid w:val="1C880A5C"/>
    <w:rsid w:val="1DA31316"/>
    <w:rsid w:val="1E1F733C"/>
    <w:rsid w:val="1F073C5F"/>
    <w:rsid w:val="1F0B09FE"/>
    <w:rsid w:val="1FA35CFB"/>
    <w:rsid w:val="2033757A"/>
    <w:rsid w:val="20E00C0C"/>
    <w:rsid w:val="21073D19"/>
    <w:rsid w:val="21274C73"/>
    <w:rsid w:val="21F3172C"/>
    <w:rsid w:val="22032E04"/>
    <w:rsid w:val="226B0DAB"/>
    <w:rsid w:val="22D93B65"/>
    <w:rsid w:val="23173028"/>
    <w:rsid w:val="23181B28"/>
    <w:rsid w:val="23467AF0"/>
    <w:rsid w:val="23BE1723"/>
    <w:rsid w:val="23DB6542"/>
    <w:rsid w:val="243E1407"/>
    <w:rsid w:val="247840E5"/>
    <w:rsid w:val="25125890"/>
    <w:rsid w:val="254259F1"/>
    <w:rsid w:val="25D643AB"/>
    <w:rsid w:val="26842BB5"/>
    <w:rsid w:val="26AE1196"/>
    <w:rsid w:val="26BE19EF"/>
    <w:rsid w:val="273B4DEE"/>
    <w:rsid w:val="28201DDD"/>
    <w:rsid w:val="28770089"/>
    <w:rsid w:val="28905912"/>
    <w:rsid w:val="28981947"/>
    <w:rsid w:val="28CB0306"/>
    <w:rsid w:val="28E70D52"/>
    <w:rsid w:val="28E765DD"/>
    <w:rsid w:val="29D820DA"/>
    <w:rsid w:val="2A9F38E6"/>
    <w:rsid w:val="2ABF60CD"/>
    <w:rsid w:val="2B5951B9"/>
    <w:rsid w:val="2B9D3E9D"/>
    <w:rsid w:val="2BC635BF"/>
    <w:rsid w:val="2BD521D1"/>
    <w:rsid w:val="2C60016F"/>
    <w:rsid w:val="2C6724E0"/>
    <w:rsid w:val="2C7E6A0F"/>
    <w:rsid w:val="2D8E2E4A"/>
    <w:rsid w:val="2E8F138D"/>
    <w:rsid w:val="2E9077CD"/>
    <w:rsid w:val="2E927EFC"/>
    <w:rsid w:val="2EFB77C4"/>
    <w:rsid w:val="2FFE4C0B"/>
    <w:rsid w:val="303625F7"/>
    <w:rsid w:val="30676AE4"/>
    <w:rsid w:val="307E0A13"/>
    <w:rsid w:val="309D2027"/>
    <w:rsid w:val="30D065A7"/>
    <w:rsid w:val="30ED53AB"/>
    <w:rsid w:val="31AD7DF1"/>
    <w:rsid w:val="321921D0"/>
    <w:rsid w:val="322E7A29"/>
    <w:rsid w:val="32560D2E"/>
    <w:rsid w:val="32826233"/>
    <w:rsid w:val="32876A90"/>
    <w:rsid w:val="33745057"/>
    <w:rsid w:val="33CA3782"/>
    <w:rsid w:val="34034C43"/>
    <w:rsid w:val="3422503E"/>
    <w:rsid w:val="3482419A"/>
    <w:rsid w:val="35080D00"/>
    <w:rsid w:val="352E7D40"/>
    <w:rsid w:val="353535E0"/>
    <w:rsid w:val="35661288"/>
    <w:rsid w:val="35860857"/>
    <w:rsid w:val="35B35DCF"/>
    <w:rsid w:val="360946F7"/>
    <w:rsid w:val="36366780"/>
    <w:rsid w:val="364610BA"/>
    <w:rsid w:val="364F4412"/>
    <w:rsid w:val="368D390B"/>
    <w:rsid w:val="37A2019E"/>
    <w:rsid w:val="380D63FD"/>
    <w:rsid w:val="389A756D"/>
    <w:rsid w:val="38AC1155"/>
    <w:rsid w:val="38F77B0B"/>
    <w:rsid w:val="38F77C64"/>
    <w:rsid w:val="391C6F31"/>
    <w:rsid w:val="393467AB"/>
    <w:rsid w:val="39367522"/>
    <w:rsid w:val="3A3169B0"/>
    <w:rsid w:val="3A63048C"/>
    <w:rsid w:val="3A9E6883"/>
    <w:rsid w:val="3AE03A6E"/>
    <w:rsid w:val="3AEC0481"/>
    <w:rsid w:val="3B1630AC"/>
    <w:rsid w:val="3B4D60F6"/>
    <w:rsid w:val="3C263DBE"/>
    <w:rsid w:val="3C94492D"/>
    <w:rsid w:val="3CE05DC4"/>
    <w:rsid w:val="3D515C28"/>
    <w:rsid w:val="3D6F750E"/>
    <w:rsid w:val="3D74650C"/>
    <w:rsid w:val="3D987765"/>
    <w:rsid w:val="3EA1684F"/>
    <w:rsid w:val="3F0B353D"/>
    <w:rsid w:val="3FFB1573"/>
    <w:rsid w:val="401F6C03"/>
    <w:rsid w:val="40830F63"/>
    <w:rsid w:val="40F251A3"/>
    <w:rsid w:val="419B52B3"/>
    <w:rsid w:val="42277FF1"/>
    <w:rsid w:val="42334364"/>
    <w:rsid w:val="4380661D"/>
    <w:rsid w:val="43B458B4"/>
    <w:rsid w:val="444A39F2"/>
    <w:rsid w:val="446B1BC1"/>
    <w:rsid w:val="44AB2ECC"/>
    <w:rsid w:val="44D47212"/>
    <w:rsid w:val="45050BD8"/>
    <w:rsid w:val="45285930"/>
    <w:rsid w:val="45B11BFE"/>
    <w:rsid w:val="45E34778"/>
    <w:rsid w:val="45E7257A"/>
    <w:rsid w:val="466F1F67"/>
    <w:rsid w:val="46B04006"/>
    <w:rsid w:val="46B5664E"/>
    <w:rsid w:val="47600426"/>
    <w:rsid w:val="47FC38A8"/>
    <w:rsid w:val="48286A07"/>
    <w:rsid w:val="48357040"/>
    <w:rsid w:val="4839282C"/>
    <w:rsid w:val="48483794"/>
    <w:rsid w:val="48570659"/>
    <w:rsid w:val="488564A6"/>
    <w:rsid w:val="489B7043"/>
    <w:rsid w:val="492B07D8"/>
    <w:rsid w:val="49747682"/>
    <w:rsid w:val="49903799"/>
    <w:rsid w:val="499F0DB5"/>
    <w:rsid w:val="49C00C61"/>
    <w:rsid w:val="49DE098A"/>
    <w:rsid w:val="4A431740"/>
    <w:rsid w:val="4A706FB0"/>
    <w:rsid w:val="4B557DB4"/>
    <w:rsid w:val="4B606CD6"/>
    <w:rsid w:val="4BE53273"/>
    <w:rsid w:val="4BF25D04"/>
    <w:rsid w:val="4C416139"/>
    <w:rsid w:val="4CE20FF8"/>
    <w:rsid w:val="4CEC6690"/>
    <w:rsid w:val="4D896004"/>
    <w:rsid w:val="4DA16EA9"/>
    <w:rsid w:val="4DD677E1"/>
    <w:rsid w:val="4DFD6D8A"/>
    <w:rsid w:val="4E1D2666"/>
    <w:rsid w:val="4EE259CC"/>
    <w:rsid w:val="4EFE0523"/>
    <w:rsid w:val="4F9C201E"/>
    <w:rsid w:val="508407FB"/>
    <w:rsid w:val="509E5BDF"/>
    <w:rsid w:val="50C86E43"/>
    <w:rsid w:val="50CC6933"/>
    <w:rsid w:val="511D2CEB"/>
    <w:rsid w:val="51454B7E"/>
    <w:rsid w:val="51627812"/>
    <w:rsid w:val="51786C85"/>
    <w:rsid w:val="51956EAA"/>
    <w:rsid w:val="5218468F"/>
    <w:rsid w:val="522D0E9F"/>
    <w:rsid w:val="526606C2"/>
    <w:rsid w:val="52B40BC7"/>
    <w:rsid w:val="52C82DE5"/>
    <w:rsid w:val="531E71EE"/>
    <w:rsid w:val="537E1A3B"/>
    <w:rsid w:val="54027B86"/>
    <w:rsid w:val="543640C4"/>
    <w:rsid w:val="54463F45"/>
    <w:rsid w:val="549B7CA5"/>
    <w:rsid w:val="54B020C8"/>
    <w:rsid w:val="54F71AA5"/>
    <w:rsid w:val="55683F6A"/>
    <w:rsid w:val="55704ABA"/>
    <w:rsid w:val="559F4336"/>
    <w:rsid w:val="55C23F1B"/>
    <w:rsid w:val="55C4779B"/>
    <w:rsid w:val="56623148"/>
    <w:rsid w:val="569A57B0"/>
    <w:rsid w:val="56B9490A"/>
    <w:rsid w:val="570F757A"/>
    <w:rsid w:val="571B3010"/>
    <w:rsid w:val="57383B85"/>
    <w:rsid w:val="575B27BF"/>
    <w:rsid w:val="57A37CC2"/>
    <w:rsid w:val="57AD5FE6"/>
    <w:rsid w:val="57D6726A"/>
    <w:rsid w:val="57ED06D1"/>
    <w:rsid w:val="58395B37"/>
    <w:rsid w:val="5868748F"/>
    <w:rsid w:val="588F22CB"/>
    <w:rsid w:val="59030FC0"/>
    <w:rsid w:val="59371389"/>
    <w:rsid w:val="596352CB"/>
    <w:rsid w:val="5A490F26"/>
    <w:rsid w:val="5A4C63EF"/>
    <w:rsid w:val="5A79327D"/>
    <w:rsid w:val="5A9008BF"/>
    <w:rsid w:val="5AB83A84"/>
    <w:rsid w:val="5AC93EE4"/>
    <w:rsid w:val="5B4B77BA"/>
    <w:rsid w:val="5B5524EB"/>
    <w:rsid w:val="5D1A034E"/>
    <w:rsid w:val="5D375134"/>
    <w:rsid w:val="5D3A4C25"/>
    <w:rsid w:val="5D3C26CC"/>
    <w:rsid w:val="5DAE407C"/>
    <w:rsid w:val="5DCA244C"/>
    <w:rsid w:val="5E011217"/>
    <w:rsid w:val="5F1722B5"/>
    <w:rsid w:val="5F9A2B8C"/>
    <w:rsid w:val="606A409A"/>
    <w:rsid w:val="606F4B42"/>
    <w:rsid w:val="609F2776"/>
    <w:rsid w:val="61841DA9"/>
    <w:rsid w:val="61EB26CA"/>
    <w:rsid w:val="62BA3765"/>
    <w:rsid w:val="63251104"/>
    <w:rsid w:val="63367DB4"/>
    <w:rsid w:val="635F2C96"/>
    <w:rsid w:val="641D69ED"/>
    <w:rsid w:val="64616AAE"/>
    <w:rsid w:val="64E750B0"/>
    <w:rsid w:val="653A1489"/>
    <w:rsid w:val="65534AB2"/>
    <w:rsid w:val="66467401"/>
    <w:rsid w:val="669272D6"/>
    <w:rsid w:val="67713D60"/>
    <w:rsid w:val="6837667E"/>
    <w:rsid w:val="683A60A0"/>
    <w:rsid w:val="68AB69D7"/>
    <w:rsid w:val="691E1836"/>
    <w:rsid w:val="69C6056C"/>
    <w:rsid w:val="69D637DF"/>
    <w:rsid w:val="6A6932BA"/>
    <w:rsid w:val="6A965682"/>
    <w:rsid w:val="6AAA4E8C"/>
    <w:rsid w:val="6AEB69D2"/>
    <w:rsid w:val="6B006F4B"/>
    <w:rsid w:val="6B5E4C86"/>
    <w:rsid w:val="6BAC6D7A"/>
    <w:rsid w:val="6C474F23"/>
    <w:rsid w:val="6C5A0556"/>
    <w:rsid w:val="6C911353"/>
    <w:rsid w:val="6CC313AB"/>
    <w:rsid w:val="6CC52DC2"/>
    <w:rsid w:val="6CE150BD"/>
    <w:rsid w:val="6D0A375E"/>
    <w:rsid w:val="6DB433C6"/>
    <w:rsid w:val="6EF371D4"/>
    <w:rsid w:val="6F1218C9"/>
    <w:rsid w:val="6F166241"/>
    <w:rsid w:val="6FB47A1C"/>
    <w:rsid w:val="6FCC61CE"/>
    <w:rsid w:val="702B5B7A"/>
    <w:rsid w:val="704333C0"/>
    <w:rsid w:val="705F2643"/>
    <w:rsid w:val="713C43F6"/>
    <w:rsid w:val="71651E5C"/>
    <w:rsid w:val="71FD72EC"/>
    <w:rsid w:val="72147C38"/>
    <w:rsid w:val="72414F83"/>
    <w:rsid w:val="727D3AE3"/>
    <w:rsid w:val="73674D66"/>
    <w:rsid w:val="737177C6"/>
    <w:rsid w:val="743F3744"/>
    <w:rsid w:val="744877CF"/>
    <w:rsid w:val="745B5405"/>
    <w:rsid w:val="746A1E3C"/>
    <w:rsid w:val="74864AE5"/>
    <w:rsid w:val="76377AFB"/>
    <w:rsid w:val="765353AD"/>
    <w:rsid w:val="76593502"/>
    <w:rsid w:val="77C17BD0"/>
    <w:rsid w:val="7843265A"/>
    <w:rsid w:val="784C1F84"/>
    <w:rsid w:val="788C29FF"/>
    <w:rsid w:val="78FB5758"/>
    <w:rsid w:val="795F1843"/>
    <w:rsid w:val="796D0251"/>
    <w:rsid w:val="79884EF0"/>
    <w:rsid w:val="7A045D70"/>
    <w:rsid w:val="7B593EE5"/>
    <w:rsid w:val="7BDA2BFE"/>
    <w:rsid w:val="7BDC22F5"/>
    <w:rsid w:val="7C136FD3"/>
    <w:rsid w:val="7C1E59E5"/>
    <w:rsid w:val="7C490589"/>
    <w:rsid w:val="7C4D0079"/>
    <w:rsid w:val="7CB26E8E"/>
    <w:rsid w:val="7CB57759"/>
    <w:rsid w:val="7D621902"/>
    <w:rsid w:val="7EC363D0"/>
    <w:rsid w:val="7F12733D"/>
    <w:rsid w:val="7FA562B4"/>
    <w:rsid w:val="7FAD794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paragraph" w:styleId="4">
    <w:name w:val="heading 3"/>
    <w:basedOn w:val="1"/>
    <w:next w:val="1"/>
    <w:qFormat/>
    <w:uiPriority w:val="99"/>
    <w:pPr>
      <w:keepNext/>
      <w:keepLines/>
      <w:spacing w:before="260" w:after="260" w:line="416" w:lineRule="auto"/>
      <w:outlineLvl w:val="2"/>
    </w:pPr>
    <w:rPr>
      <w:rFonts w:ascii="Times New Roman" w:hAnsi="Times New Roman"/>
      <w:b/>
      <w:bCs/>
      <w:kern w:val="0"/>
      <w:sz w:val="32"/>
      <w:szCs w:val="32"/>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styleId="5">
    <w:name w:val="Normal Indent"/>
    <w:basedOn w:val="1"/>
    <w:unhideWhenUsed/>
    <w:qFormat/>
    <w:uiPriority w:val="0"/>
    <w:pPr>
      <w:ind w:firstLine="420"/>
    </w:pPr>
  </w:style>
  <w:style w:type="paragraph" w:styleId="6">
    <w:name w:val="Body Text"/>
    <w:basedOn w:val="1"/>
    <w:next w:val="1"/>
    <w:qFormat/>
    <w:uiPriority w:val="99"/>
    <w:rPr>
      <w:rFonts w:ascii="楷体_GB2312" w:hAnsi="Arial" w:eastAsia="楷体_GB2312"/>
      <w:sz w:val="28"/>
      <w:szCs w:val="28"/>
    </w:rPr>
  </w:style>
  <w:style w:type="paragraph" w:styleId="7">
    <w:name w:val="Body Text Indent"/>
    <w:basedOn w:val="1"/>
    <w:qFormat/>
    <w:uiPriority w:val="0"/>
    <w:pPr>
      <w:ind w:firstLine="645"/>
    </w:pPr>
    <w:rPr>
      <w:rFonts w:ascii="楷体_GB2312" w:eastAsia="楷体_GB2312"/>
      <w:sz w:val="32"/>
      <w:szCs w:val="32"/>
    </w:rPr>
  </w:style>
  <w:style w:type="paragraph" w:styleId="8">
    <w:name w:val="Plain Text"/>
    <w:basedOn w:val="1"/>
    <w:next w:val="1"/>
    <w:qFormat/>
    <w:uiPriority w:val="99"/>
    <w:rPr>
      <w:rFonts w:ascii="宋体" w:hAnsi="Courier New" w:cs="Courier New"/>
    </w:rPr>
  </w:style>
  <w:style w:type="paragraph" w:styleId="9">
    <w:name w:val="footer"/>
    <w:basedOn w:val="1"/>
    <w:link w:val="22"/>
    <w:qFormat/>
    <w:uiPriority w:val="0"/>
    <w:pPr>
      <w:tabs>
        <w:tab w:val="center" w:pos="4153"/>
        <w:tab w:val="right" w:pos="8306"/>
      </w:tabs>
      <w:snapToGrid w:val="0"/>
      <w:jc w:val="left"/>
    </w:pPr>
    <w:rPr>
      <w:sz w:val="18"/>
      <w:szCs w:val="18"/>
    </w:rPr>
  </w:style>
  <w:style w:type="paragraph" w:styleId="10">
    <w:name w:val="header"/>
    <w:basedOn w:val="1"/>
    <w:link w:val="21"/>
    <w:qFormat/>
    <w:uiPriority w:val="0"/>
    <w:pPr>
      <w:pBdr>
        <w:bottom w:val="single" w:color="auto" w:sz="6" w:space="1"/>
      </w:pBdr>
      <w:tabs>
        <w:tab w:val="center" w:pos="4153"/>
        <w:tab w:val="right" w:pos="8306"/>
      </w:tabs>
      <w:snapToGrid w:val="0"/>
      <w:jc w:val="center"/>
    </w:pPr>
    <w:rPr>
      <w:sz w:val="18"/>
      <w:szCs w:val="18"/>
    </w:rPr>
  </w:style>
  <w:style w:type="paragraph" w:styleId="11">
    <w:name w:val="Body Text Indent 3"/>
    <w:basedOn w:val="1"/>
    <w:qFormat/>
    <w:uiPriority w:val="0"/>
    <w:pPr>
      <w:ind w:left="645" w:firstLine="645"/>
    </w:pPr>
    <w:rPr>
      <w:rFonts w:ascii="Arial" w:hAnsi="Arial" w:eastAsia="仿宋_GB2312" w:cs="Arial"/>
      <w:color w:val="FFFF00"/>
      <w:sz w:val="32"/>
      <w:szCs w:val="32"/>
    </w:rPr>
  </w:style>
  <w:style w:type="paragraph" w:styleId="1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13">
    <w:name w:val="Normal (Web)"/>
    <w:basedOn w:val="1"/>
    <w:qFormat/>
    <w:uiPriority w:val="0"/>
    <w:pPr>
      <w:spacing w:beforeAutospacing="1" w:afterAutospacing="1"/>
      <w:jc w:val="left"/>
    </w:pPr>
    <w:rPr>
      <w:rFonts w:cs="Times New Roman"/>
      <w:kern w:val="0"/>
      <w:sz w:val="24"/>
    </w:rPr>
  </w:style>
  <w:style w:type="paragraph" w:styleId="14">
    <w:name w:val="Body Text First Indent"/>
    <w:basedOn w:val="6"/>
    <w:next w:val="1"/>
    <w:unhideWhenUsed/>
    <w:qFormat/>
    <w:uiPriority w:val="99"/>
    <w:pPr>
      <w:ind w:firstLine="420"/>
    </w:pPr>
    <w:rPr>
      <w:rFonts w:ascii="Times New Roman" w:hAnsi="Times New Roman" w:eastAsia="宋体" w:cs="Times New Roman"/>
    </w:rPr>
  </w:style>
  <w:style w:type="paragraph" w:styleId="15">
    <w:name w:val="Body Text First Indent 2"/>
    <w:basedOn w:val="7"/>
    <w:qFormat/>
    <w:uiPriority w:val="0"/>
    <w:pPr>
      <w:spacing w:line="360" w:lineRule="auto"/>
      <w:ind w:firstLine="420" w:firstLineChars="200"/>
    </w:pPr>
    <w:rPr>
      <w:rFonts w:ascii="宋体" w:hAnsi="宋体" w:eastAsia="宋体"/>
      <w:sz w:val="21"/>
      <w:szCs w:val="20"/>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9">
    <w:name w:val="4"/>
    <w:basedOn w:val="1"/>
    <w:next w:val="11"/>
    <w:qFormat/>
    <w:uiPriority w:val="0"/>
    <w:pPr>
      <w:spacing w:line="360" w:lineRule="auto"/>
      <w:ind w:firstLine="420"/>
    </w:pPr>
    <w:rPr>
      <w:color w:val="FF0000"/>
      <w:sz w:val="24"/>
    </w:rPr>
  </w:style>
  <w:style w:type="paragraph" w:customStyle="1" w:styleId="20">
    <w:name w:val="纯文本1"/>
    <w:basedOn w:val="1"/>
    <w:qFormat/>
    <w:uiPriority w:val="0"/>
    <w:pPr>
      <w:adjustRightInd w:val="0"/>
    </w:pPr>
    <w:rPr>
      <w:rFonts w:ascii="宋体" w:hAnsi="Courier New" w:eastAsia="楷体_GB2312"/>
      <w:sz w:val="28"/>
      <w:szCs w:val="20"/>
    </w:rPr>
  </w:style>
  <w:style w:type="character" w:customStyle="1" w:styleId="21">
    <w:name w:val="页眉 Char"/>
    <w:basedOn w:val="18"/>
    <w:link w:val="10"/>
    <w:qFormat/>
    <w:uiPriority w:val="0"/>
    <w:rPr>
      <w:kern w:val="2"/>
      <w:sz w:val="18"/>
      <w:szCs w:val="18"/>
    </w:rPr>
  </w:style>
  <w:style w:type="character" w:customStyle="1" w:styleId="22">
    <w:name w:val="页脚 Char"/>
    <w:basedOn w:val="18"/>
    <w:link w:val="9"/>
    <w:qFormat/>
    <w:uiPriority w:val="0"/>
    <w:rPr>
      <w:kern w:val="2"/>
      <w:sz w:val="18"/>
      <w:szCs w:val="18"/>
    </w:rPr>
  </w:style>
  <w:style w:type="character" w:customStyle="1" w:styleId="23">
    <w:name w:val="NormalCharacter"/>
    <w:qFormat/>
    <w:uiPriority w:val="99"/>
    <w:rPr>
      <w:rFonts w:ascii="Calibri" w:hAnsi="Calibri" w:eastAsia="宋体"/>
    </w:rPr>
  </w:style>
  <w:style w:type="paragraph" w:customStyle="1" w:styleId="24">
    <w:name w:val="普通正文"/>
    <w:basedOn w:val="1"/>
    <w:qFormat/>
    <w:uiPriority w:val="0"/>
    <w:pPr>
      <w:spacing w:before="120" w:after="120" w:line="360" w:lineRule="auto"/>
      <w:ind w:firstLine="480"/>
      <w:jc w:val="left"/>
    </w:pPr>
    <w:rPr>
      <w:rFonts w:ascii="Arial" w:hAnsi="Arial" w:eastAsia="等线" w:cs="Arial"/>
      <w:kern w:val="0"/>
      <w:sz w:val="24"/>
    </w:rPr>
  </w:style>
  <w:style w:type="paragraph" w:styleId="25">
    <w:name w:val="List Paragraph"/>
    <w:basedOn w:val="1"/>
    <w:qFormat/>
    <w:uiPriority w:val="34"/>
    <w:pPr>
      <w:widowControl/>
      <w:ind w:firstLine="420" w:firstLineChars="200"/>
      <w:jc w:val="left"/>
    </w:pPr>
    <w:rPr>
      <w:rFonts w:eastAsia="仿宋" w:cs="宋体"/>
      <w:color w:val="000000"/>
      <w:sz w:val="28"/>
    </w:rPr>
  </w:style>
  <w:style w:type="paragraph" w:customStyle="1" w:styleId="26">
    <w:name w:val="普通(网站)1111"/>
    <w:basedOn w:val="1"/>
    <w:qFormat/>
    <w:uiPriority w:val="0"/>
    <w:pPr>
      <w:widowControl/>
      <w:spacing w:before="100" w:beforeAutospacing="1" w:after="100" w:afterAutospacing="1"/>
      <w:jc w:val="left"/>
    </w:pPr>
    <w:rPr>
      <w:rFonts w:ascii="宋体" w:hAnsi="宋体" w:cs="宋体"/>
      <w:sz w:val="24"/>
    </w:rPr>
  </w:style>
  <w:style w:type="paragraph" w:customStyle="1" w:styleId="27">
    <w:name w:val="正文首行缩进1"/>
    <w:basedOn w:val="1"/>
    <w:next w:val="1"/>
    <w:autoRedefine/>
    <w:qFormat/>
    <w:uiPriority w:val="0"/>
    <w:pPr>
      <w:ind w:firstLine="420"/>
    </w:pPr>
    <w:rPr>
      <w:szCs w:val="24"/>
    </w:rPr>
  </w:style>
  <w:style w:type="character" w:customStyle="1" w:styleId="28">
    <w:name w:val="NormalCharacter1"/>
    <w:autoRedefine/>
    <w:qFormat/>
    <w:uiPriority w:val="99"/>
    <w:rPr>
      <w:rFonts w:ascii="Calibri" w:hAnsi="Calibri" w:eastAsia="宋体"/>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P R C</Company>
  <Pages>76</Pages>
  <Words>20387</Words>
  <Characters>21759</Characters>
  <Lines>272</Lines>
  <Paragraphs>76</Paragraphs>
  <TotalTime>10</TotalTime>
  <ScaleCrop>false</ScaleCrop>
  <LinksUpToDate>false</LinksUpToDate>
  <CharactersWithSpaces>22231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2024-07-19T02:42:00Z</dcterms:created>
  <dc:creator>Administrator</dc:creator>
  <cp:lastModifiedBy>应该如何丶</cp:lastModifiedBy>
  <cp:lastPrinted>2025-09-17T03:00:00Z</cp:lastPrinted>
  <dcterms:modified xsi:type="dcterms:W3CDTF">2025-11-10T08:55:48Z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3680CA6192A54E4DA50DA496D1BE1FF4_13</vt:lpwstr>
  </property>
  <property fmtid="{D5CDD505-2E9C-101B-9397-08002B2CF9AE}" pid="4" name="KSOTemplateDocerSaveRecord">
    <vt:lpwstr>eyJoZGlkIjoiYjIzOTA3YWMyNWU3YmM4NWUxZTQ4NzY2NjljNDYyOWQiLCJ1c2VySWQiOiIxMDA3NjMzOSJ9</vt:lpwstr>
  </property>
</Properties>
</file>